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A47" w:rsidRPr="00973A47" w:rsidRDefault="00973A47">
      <w:pPr>
        <w:pStyle w:val="Title"/>
        <w:ind w:left="0"/>
        <w:rPr>
          <w:rFonts w:asciiTheme="minorHAnsi" w:hAnsiTheme="minorHAnsi" w:cstheme="minorHAnsi"/>
          <w:sz w:val="24"/>
          <w:szCs w:val="24"/>
          <w:u w:val="none"/>
        </w:rPr>
      </w:pPr>
      <w:r w:rsidRPr="00973A47">
        <w:rPr>
          <w:rFonts w:asciiTheme="minorHAnsi" w:hAnsiTheme="minorHAnsi" w:cstheme="minorHAnsi"/>
          <w:sz w:val="24"/>
          <w:szCs w:val="24"/>
          <w:u w:val="none"/>
        </w:rPr>
        <w:t>PRACTICE NOTE SC Gen 6</w:t>
      </w:r>
    </w:p>
    <w:p w:rsidR="00973A47" w:rsidRPr="00973A47" w:rsidRDefault="00973A47">
      <w:pPr>
        <w:jc w:val="center"/>
        <w:rPr>
          <w:rFonts w:asciiTheme="minorHAnsi" w:hAnsiTheme="minorHAnsi" w:cstheme="minorHAnsi"/>
          <w:b/>
          <w:bCs/>
        </w:rPr>
      </w:pPr>
    </w:p>
    <w:p w:rsidR="00973A47" w:rsidRPr="00973A47" w:rsidRDefault="00973A47">
      <w:pPr>
        <w:pStyle w:val="BodyText"/>
        <w:rPr>
          <w:rFonts w:asciiTheme="minorHAnsi" w:hAnsiTheme="minorHAnsi" w:cstheme="minorHAnsi"/>
          <w:caps/>
          <w:color w:val="000000"/>
          <w:sz w:val="24"/>
          <w:szCs w:val="24"/>
        </w:rPr>
      </w:pPr>
      <w:r w:rsidRPr="00973A47">
        <w:rPr>
          <w:rFonts w:asciiTheme="minorHAnsi" w:hAnsiTheme="minorHAnsi" w:cstheme="minorHAnsi"/>
          <w:color w:val="000000"/>
          <w:sz w:val="24"/>
          <w:szCs w:val="24"/>
        </w:rPr>
        <w:t>Supreme Court - Mediation</w:t>
      </w:r>
    </w:p>
    <w:p w:rsidR="00973A47" w:rsidRPr="00973A47" w:rsidRDefault="00973A47">
      <w:pPr>
        <w:rPr>
          <w:rFonts w:asciiTheme="minorHAnsi" w:hAnsiTheme="minorHAnsi" w:cstheme="minorHAnsi"/>
        </w:rPr>
      </w:pPr>
    </w:p>
    <w:p w:rsidR="00973A47" w:rsidRPr="00973A47" w:rsidRDefault="00973A47">
      <w:pPr>
        <w:rPr>
          <w:rFonts w:asciiTheme="minorHAnsi" w:hAnsiTheme="minorHAnsi" w:cstheme="minorHAnsi"/>
        </w:rPr>
      </w:pPr>
    </w:p>
    <w:p w:rsidR="00973A47" w:rsidRPr="00973A47" w:rsidRDefault="00973A47" w:rsidP="009557AB">
      <w:pPr>
        <w:pStyle w:val="Heading1"/>
        <w:jc w:val="both"/>
        <w:rPr>
          <w:rFonts w:cstheme="minorHAnsi"/>
          <w:szCs w:val="24"/>
        </w:rPr>
      </w:pPr>
      <w:r w:rsidRPr="00973A47">
        <w:rPr>
          <w:rFonts w:cstheme="minorHAnsi"/>
          <w:szCs w:val="24"/>
        </w:rPr>
        <w:t>Commencement</w:t>
      </w:r>
    </w:p>
    <w:p w:rsidR="00973A47" w:rsidRPr="00973A47" w:rsidRDefault="00973A47" w:rsidP="009557AB">
      <w:pPr>
        <w:pStyle w:val="BodyText3"/>
        <w:numPr>
          <w:ilvl w:val="0"/>
          <w:numId w:val="5"/>
        </w:numPr>
        <w:jc w:val="both"/>
        <w:rPr>
          <w:rFonts w:asciiTheme="minorHAnsi" w:hAnsiTheme="minorHAnsi" w:cstheme="minorHAnsi"/>
          <w:sz w:val="24"/>
          <w:szCs w:val="24"/>
        </w:rPr>
      </w:pPr>
      <w:r w:rsidRPr="00973A47">
        <w:rPr>
          <w:rFonts w:asciiTheme="minorHAnsi" w:hAnsiTheme="minorHAnsi" w:cstheme="minorHAnsi"/>
          <w:sz w:val="24"/>
          <w:szCs w:val="24"/>
        </w:rPr>
        <w:t xml:space="preserve">This Practice Note was issued on </w:t>
      </w:r>
      <w:r>
        <w:rPr>
          <w:rFonts w:asciiTheme="minorHAnsi" w:hAnsiTheme="minorHAnsi" w:cstheme="minorHAnsi"/>
          <w:sz w:val="24"/>
          <w:szCs w:val="24"/>
        </w:rPr>
        <w:t>9 March 2018</w:t>
      </w:r>
      <w:r w:rsidRPr="00973A47">
        <w:rPr>
          <w:rFonts w:asciiTheme="minorHAnsi" w:hAnsiTheme="minorHAnsi" w:cstheme="minorHAnsi"/>
          <w:sz w:val="24"/>
          <w:szCs w:val="24"/>
        </w:rPr>
        <w:t xml:space="preserve"> and commenced on </w:t>
      </w:r>
      <w:r>
        <w:rPr>
          <w:rFonts w:asciiTheme="minorHAnsi" w:hAnsiTheme="minorHAnsi" w:cstheme="minorHAnsi"/>
          <w:sz w:val="24"/>
          <w:szCs w:val="24"/>
        </w:rPr>
        <w:t>9 March 2018</w:t>
      </w:r>
      <w:r w:rsidRPr="00973A47">
        <w:rPr>
          <w:rFonts w:asciiTheme="minorHAnsi" w:hAnsiTheme="minorHAnsi" w:cstheme="minorHAnsi"/>
          <w:sz w:val="24"/>
          <w:szCs w:val="24"/>
        </w:rPr>
        <w:t>.</w:t>
      </w:r>
    </w:p>
    <w:p w:rsidR="00973A47" w:rsidRPr="00973A47" w:rsidRDefault="00973A47" w:rsidP="009557AB">
      <w:pPr>
        <w:jc w:val="both"/>
        <w:rPr>
          <w:rFonts w:asciiTheme="minorHAnsi" w:hAnsiTheme="minorHAnsi" w:cstheme="minorHAnsi"/>
        </w:rPr>
      </w:pPr>
    </w:p>
    <w:p w:rsidR="00973A47" w:rsidRPr="00973A47" w:rsidRDefault="00973A47" w:rsidP="009557AB">
      <w:pPr>
        <w:pStyle w:val="Heading1"/>
        <w:jc w:val="both"/>
        <w:rPr>
          <w:rFonts w:cstheme="minorHAnsi"/>
          <w:szCs w:val="24"/>
        </w:rPr>
      </w:pPr>
      <w:r w:rsidRPr="00973A47">
        <w:rPr>
          <w:rFonts w:cstheme="minorHAnsi"/>
          <w:szCs w:val="24"/>
        </w:rPr>
        <w:t>Application</w:t>
      </w:r>
    </w:p>
    <w:p w:rsidR="00973A47" w:rsidRPr="00973A47" w:rsidRDefault="00973A47" w:rsidP="009557AB">
      <w:pPr>
        <w:numPr>
          <w:ilvl w:val="0"/>
          <w:numId w:val="5"/>
        </w:numPr>
        <w:jc w:val="both"/>
        <w:rPr>
          <w:rFonts w:asciiTheme="minorHAnsi" w:hAnsiTheme="minorHAnsi" w:cstheme="minorHAnsi"/>
        </w:rPr>
      </w:pPr>
      <w:r w:rsidRPr="00973A47">
        <w:rPr>
          <w:rFonts w:asciiTheme="minorHAnsi" w:hAnsiTheme="minorHAnsi" w:cstheme="minorHAnsi"/>
        </w:rPr>
        <w:t xml:space="preserve">This Practice Note applies to proceedings in the Court of Appeal, the Common Law Division (civil cases only) and the Equity Division. This Practice Note does not apply to proceedings in the Court of Criminal Appeal or criminal proceedings in the Common Law Division. </w:t>
      </w:r>
    </w:p>
    <w:p w:rsidR="00973A47" w:rsidRPr="00973A47" w:rsidRDefault="00973A47" w:rsidP="009557AB">
      <w:pPr>
        <w:jc w:val="both"/>
        <w:rPr>
          <w:rFonts w:asciiTheme="minorHAnsi" w:hAnsiTheme="minorHAnsi" w:cstheme="minorHAnsi"/>
        </w:rPr>
      </w:pPr>
      <w:bookmarkStart w:id="0" w:name="_GoBack"/>
      <w:bookmarkEnd w:id="0"/>
    </w:p>
    <w:p w:rsidR="00973A47" w:rsidRPr="00973A47" w:rsidRDefault="00973A47" w:rsidP="009557AB">
      <w:pPr>
        <w:pStyle w:val="Heading1"/>
        <w:jc w:val="both"/>
        <w:rPr>
          <w:rFonts w:cstheme="minorHAnsi"/>
          <w:szCs w:val="24"/>
        </w:rPr>
      </w:pPr>
      <w:r w:rsidRPr="00973A47">
        <w:rPr>
          <w:rFonts w:cstheme="minorHAnsi"/>
          <w:szCs w:val="24"/>
        </w:rPr>
        <w:t>Definitions</w:t>
      </w:r>
    </w:p>
    <w:p w:rsidR="00973A47" w:rsidRPr="00973A47" w:rsidRDefault="00973A47" w:rsidP="009557AB">
      <w:pPr>
        <w:pStyle w:val="BodyText3"/>
        <w:numPr>
          <w:ilvl w:val="0"/>
          <w:numId w:val="5"/>
        </w:numPr>
        <w:spacing w:line="360" w:lineRule="auto"/>
        <w:jc w:val="both"/>
        <w:rPr>
          <w:rFonts w:asciiTheme="minorHAnsi" w:hAnsiTheme="minorHAnsi" w:cstheme="minorHAnsi"/>
          <w:sz w:val="24"/>
          <w:szCs w:val="24"/>
        </w:rPr>
      </w:pPr>
      <w:r w:rsidRPr="00973A47">
        <w:rPr>
          <w:rFonts w:asciiTheme="minorHAnsi" w:hAnsiTheme="minorHAnsi" w:cstheme="minorHAnsi"/>
          <w:sz w:val="24"/>
          <w:szCs w:val="24"/>
        </w:rPr>
        <w:t>In this Practice Note:</w:t>
      </w:r>
    </w:p>
    <w:p w:rsidR="00973A47" w:rsidRPr="00973A47" w:rsidRDefault="00973A47" w:rsidP="009557AB">
      <w:pPr>
        <w:ind w:left="567"/>
        <w:jc w:val="both"/>
        <w:rPr>
          <w:rFonts w:asciiTheme="minorHAnsi" w:hAnsiTheme="minorHAnsi" w:cstheme="minorHAnsi"/>
          <w:i/>
          <w:iCs/>
        </w:rPr>
      </w:pPr>
      <w:r w:rsidRPr="00973A47">
        <w:rPr>
          <w:rFonts w:asciiTheme="minorHAnsi" w:hAnsiTheme="minorHAnsi" w:cstheme="minorHAnsi"/>
          <w:b/>
          <w:bCs/>
        </w:rPr>
        <w:t xml:space="preserve">CPA </w:t>
      </w:r>
      <w:r w:rsidRPr="00973A47">
        <w:rPr>
          <w:rFonts w:asciiTheme="minorHAnsi" w:hAnsiTheme="minorHAnsi" w:cstheme="minorHAnsi"/>
        </w:rPr>
        <w:t xml:space="preserve">means the </w:t>
      </w:r>
      <w:r w:rsidRPr="00973A47">
        <w:rPr>
          <w:rFonts w:asciiTheme="minorHAnsi" w:hAnsiTheme="minorHAnsi" w:cstheme="minorHAnsi"/>
          <w:i/>
          <w:iCs/>
        </w:rPr>
        <w:t>Civil Procedure Act 2005</w:t>
      </w:r>
    </w:p>
    <w:p w:rsidR="00973A47" w:rsidRPr="00973A47" w:rsidRDefault="00973A47" w:rsidP="009557AB">
      <w:pPr>
        <w:ind w:left="567"/>
        <w:jc w:val="both"/>
        <w:rPr>
          <w:rFonts w:asciiTheme="minorHAnsi" w:hAnsiTheme="minorHAnsi" w:cstheme="minorHAnsi"/>
        </w:rPr>
      </w:pPr>
      <w:r w:rsidRPr="00973A47">
        <w:rPr>
          <w:rFonts w:asciiTheme="minorHAnsi" w:hAnsiTheme="minorHAnsi" w:cstheme="minorHAnsi"/>
          <w:b/>
          <w:bCs/>
        </w:rPr>
        <w:t xml:space="preserve">UCPR </w:t>
      </w:r>
      <w:r w:rsidRPr="00973A47">
        <w:rPr>
          <w:rFonts w:asciiTheme="minorHAnsi" w:hAnsiTheme="minorHAnsi" w:cstheme="minorHAnsi"/>
        </w:rPr>
        <w:t xml:space="preserve">means the </w:t>
      </w:r>
      <w:r w:rsidRPr="00973A47">
        <w:rPr>
          <w:rFonts w:asciiTheme="minorHAnsi" w:hAnsiTheme="minorHAnsi" w:cstheme="minorHAnsi"/>
          <w:i/>
          <w:iCs/>
        </w:rPr>
        <w:t>Uniform Civil Procedure Rules 2005</w:t>
      </w:r>
    </w:p>
    <w:p w:rsidR="00973A47" w:rsidRPr="00973A47" w:rsidRDefault="00973A47" w:rsidP="009557AB">
      <w:pPr>
        <w:jc w:val="both"/>
        <w:rPr>
          <w:rFonts w:asciiTheme="minorHAnsi" w:hAnsiTheme="minorHAnsi" w:cstheme="minorHAnsi"/>
        </w:rPr>
      </w:pPr>
    </w:p>
    <w:p w:rsidR="00973A47" w:rsidRPr="00973A47" w:rsidRDefault="00973A47" w:rsidP="009557AB">
      <w:pPr>
        <w:pStyle w:val="Heading1"/>
        <w:jc w:val="both"/>
        <w:rPr>
          <w:rFonts w:cstheme="minorHAnsi"/>
          <w:szCs w:val="24"/>
        </w:rPr>
      </w:pPr>
      <w:r w:rsidRPr="00973A47">
        <w:rPr>
          <w:rFonts w:cstheme="minorHAnsi"/>
          <w:szCs w:val="24"/>
        </w:rPr>
        <w:t>Introduction</w:t>
      </w:r>
    </w:p>
    <w:p w:rsidR="00973A47" w:rsidRPr="00973A47" w:rsidRDefault="00973A47" w:rsidP="009557AB">
      <w:pPr>
        <w:numPr>
          <w:ilvl w:val="0"/>
          <w:numId w:val="5"/>
        </w:numPr>
        <w:jc w:val="both"/>
        <w:rPr>
          <w:rFonts w:asciiTheme="minorHAnsi" w:hAnsiTheme="minorHAnsi" w:cstheme="minorHAnsi"/>
        </w:rPr>
      </w:pPr>
      <w:r w:rsidRPr="00973A47">
        <w:rPr>
          <w:rFonts w:asciiTheme="minorHAnsi" w:hAnsiTheme="minorHAnsi" w:cstheme="minorHAnsi"/>
        </w:rPr>
        <w:t>The purpose of this Practice Note is to explain the Court’s mediation procedures and its expectations of parties in proceedings that have been referred to mediation.</w:t>
      </w:r>
    </w:p>
    <w:p w:rsidR="00973A47" w:rsidRPr="00973A47" w:rsidRDefault="00973A47" w:rsidP="009557AB">
      <w:pPr>
        <w:jc w:val="both"/>
        <w:rPr>
          <w:rFonts w:asciiTheme="minorHAnsi" w:hAnsiTheme="minorHAnsi" w:cstheme="minorHAnsi"/>
        </w:rPr>
      </w:pPr>
    </w:p>
    <w:p w:rsidR="00973A47" w:rsidRPr="00973A47" w:rsidRDefault="00973A47" w:rsidP="009557AB">
      <w:pPr>
        <w:pStyle w:val="Heading1"/>
        <w:jc w:val="both"/>
        <w:rPr>
          <w:rFonts w:cstheme="minorHAnsi"/>
          <w:szCs w:val="24"/>
        </w:rPr>
      </w:pPr>
      <w:r w:rsidRPr="00973A47">
        <w:rPr>
          <w:rFonts w:cstheme="minorHAnsi"/>
          <w:szCs w:val="24"/>
        </w:rPr>
        <w:t>Referrals generally</w:t>
      </w:r>
    </w:p>
    <w:p w:rsidR="00973A47" w:rsidRPr="00973A47" w:rsidRDefault="00973A47" w:rsidP="009557AB">
      <w:pPr>
        <w:numPr>
          <w:ilvl w:val="0"/>
          <w:numId w:val="5"/>
        </w:numPr>
        <w:jc w:val="both"/>
        <w:rPr>
          <w:rFonts w:asciiTheme="minorHAnsi" w:hAnsiTheme="minorHAnsi" w:cstheme="minorHAnsi"/>
        </w:rPr>
      </w:pPr>
      <w:r w:rsidRPr="00973A47">
        <w:rPr>
          <w:rFonts w:asciiTheme="minorHAnsi" w:hAnsiTheme="minorHAnsi" w:cstheme="minorHAnsi"/>
        </w:rPr>
        <w:t>Part 4 of the CPA permits the Court at any stage of the proceedings, by order, to refer parties to mediation where, in the opinion of the Court, mediation appears appropriate. The Court’s power does not depend on the consent of the parties, or of any of the parties.</w:t>
      </w:r>
    </w:p>
    <w:p w:rsidR="00973A47" w:rsidRPr="00973A47" w:rsidRDefault="00973A47" w:rsidP="009557AB">
      <w:pPr>
        <w:jc w:val="both"/>
        <w:rPr>
          <w:rFonts w:asciiTheme="minorHAnsi" w:eastAsia="Arial Unicode MS" w:hAnsiTheme="minorHAnsi" w:cstheme="minorHAnsi"/>
        </w:rPr>
      </w:pPr>
    </w:p>
    <w:p w:rsidR="00973A47" w:rsidRPr="00973A47" w:rsidRDefault="00973A47" w:rsidP="009557AB">
      <w:pPr>
        <w:numPr>
          <w:ilvl w:val="0"/>
          <w:numId w:val="5"/>
        </w:numPr>
        <w:jc w:val="both"/>
        <w:rPr>
          <w:rFonts w:asciiTheme="minorHAnsi" w:hAnsiTheme="minorHAnsi" w:cstheme="minorHAnsi"/>
        </w:rPr>
      </w:pPr>
      <w:r w:rsidRPr="00973A47">
        <w:rPr>
          <w:rFonts w:asciiTheme="minorHAnsi" w:hAnsiTheme="minorHAnsi" w:cstheme="minorHAnsi"/>
        </w:rPr>
        <w:t>It is not the intention of the Court that mediation will be ordered in all proceedings.</w:t>
      </w:r>
    </w:p>
    <w:p w:rsidR="00973A47" w:rsidRPr="00973A47" w:rsidRDefault="00973A47" w:rsidP="009557AB">
      <w:pPr>
        <w:jc w:val="both"/>
        <w:rPr>
          <w:rFonts w:asciiTheme="minorHAnsi" w:hAnsiTheme="minorHAnsi" w:cstheme="minorHAnsi"/>
        </w:rPr>
      </w:pPr>
    </w:p>
    <w:p w:rsidR="00973A47" w:rsidRPr="00973A47" w:rsidRDefault="00973A47" w:rsidP="009557AB">
      <w:pPr>
        <w:numPr>
          <w:ilvl w:val="0"/>
          <w:numId w:val="5"/>
        </w:numPr>
        <w:jc w:val="both"/>
        <w:rPr>
          <w:rFonts w:asciiTheme="minorHAnsi" w:hAnsiTheme="minorHAnsi" w:cstheme="minorHAnsi"/>
        </w:rPr>
      </w:pPr>
      <w:r w:rsidRPr="00973A47">
        <w:rPr>
          <w:rFonts w:asciiTheme="minorHAnsi" w:hAnsiTheme="minorHAnsi" w:cstheme="minorHAnsi"/>
        </w:rPr>
        <w:t>The parties themselves may, at any time, agree to mediation, nominate a mediator and request the Court to make the appropriate orders.</w:t>
      </w:r>
    </w:p>
    <w:p w:rsidR="00973A47" w:rsidRPr="00973A47" w:rsidRDefault="00973A47" w:rsidP="009557AB">
      <w:pPr>
        <w:jc w:val="both"/>
        <w:rPr>
          <w:rFonts w:asciiTheme="minorHAnsi" w:hAnsiTheme="minorHAnsi" w:cstheme="minorHAnsi"/>
        </w:rPr>
      </w:pPr>
    </w:p>
    <w:p w:rsidR="00973A47" w:rsidRPr="00973A47" w:rsidRDefault="00973A47" w:rsidP="009557AB">
      <w:pPr>
        <w:numPr>
          <w:ilvl w:val="0"/>
          <w:numId w:val="5"/>
        </w:numPr>
        <w:jc w:val="both"/>
        <w:rPr>
          <w:rFonts w:asciiTheme="minorHAnsi" w:eastAsia="Arial Unicode MS" w:hAnsiTheme="minorHAnsi" w:cstheme="minorHAnsi"/>
        </w:rPr>
      </w:pPr>
      <w:r w:rsidRPr="00973A47">
        <w:rPr>
          <w:rFonts w:asciiTheme="minorHAnsi" w:hAnsiTheme="minorHAnsi" w:cstheme="minorHAnsi"/>
        </w:rPr>
        <w:t xml:space="preserve">The Court may consider ordering mediation on the motion of a party, or on referral by a registrar, or on the Court’s own motion. Where mediation is ordered, the parties will usually agree on the person to be the mediator. If they do not: </w:t>
      </w:r>
    </w:p>
    <w:p w:rsidR="00973A47" w:rsidRPr="00973A47" w:rsidRDefault="00973A47" w:rsidP="009557AB">
      <w:pPr>
        <w:jc w:val="both"/>
        <w:rPr>
          <w:rFonts w:asciiTheme="minorHAnsi" w:eastAsia="Arial Unicode MS" w:hAnsiTheme="minorHAnsi" w:cstheme="minorHAnsi"/>
        </w:rPr>
      </w:pPr>
    </w:p>
    <w:p w:rsidR="00973A47" w:rsidRPr="00973A47" w:rsidRDefault="00973A47" w:rsidP="009557AB">
      <w:pPr>
        <w:pStyle w:val="BodyText2"/>
        <w:numPr>
          <w:ilvl w:val="1"/>
          <w:numId w:val="5"/>
        </w:numPr>
        <w:spacing w:after="120"/>
        <w:jc w:val="both"/>
        <w:rPr>
          <w:rFonts w:asciiTheme="minorHAnsi" w:hAnsiTheme="minorHAnsi" w:cstheme="minorHAnsi"/>
          <w:sz w:val="24"/>
          <w:szCs w:val="24"/>
        </w:rPr>
      </w:pPr>
      <w:r w:rsidRPr="00973A47">
        <w:rPr>
          <w:rFonts w:asciiTheme="minorHAnsi" w:hAnsiTheme="minorHAnsi" w:cstheme="minorHAnsi"/>
          <w:sz w:val="24"/>
          <w:szCs w:val="24"/>
        </w:rPr>
        <w:t>the Court may select the mediator to be appointed or may appoint the mediator pursuant to the Joint Protocol set out in this Practice Note;</w:t>
      </w:r>
      <w:r>
        <w:rPr>
          <w:rFonts w:asciiTheme="minorHAnsi" w:hAnsiTheme="minorHAnsi" w:cstheme="minorHAnsi"/>
          <w:sz w:val="24"/>
          <w:szCs w:val="24"/>
        </w:rPr>
        <w:t xml:space="preserve"> or</w:t>
      </w:r>
    </w:p>
    <w:p w:rsidR="00973A47" w:rsidRPr="00973A47" w:rsidRDefault="00973A47" w:rsidP="009557AB">
      <w:pPr>
        <w:numPr>
          <w:ilvl w:val="1"/>
          <w:numId w:val="5"/>
        </w:numPr>
        <w:jc w:val="both"/>
        <w:rPr>
          <w:rFonts w:asciiTheme="minorHAnsi" w:hAnsiTheme="minorHAnsi" w:cstheme="minorHAnsi"/>
        </w:rPr>
      </w:pPr>
      <w:proofErr w:type="gramStart"/>
      <w:r w:rsidRPr="00973A47">
        <w:rPr>
          <w:rFonts w:asciiTheme="minorHAnsi" w:hAnsiTheme="minorHAnsi" w:cstheme="minorHAnsi"/>
        </w:rPr>
        <w:lastRenderedPageBreak/>
        <w:t>the</w:t>
      </w:r>
      <w:proofErr w:type="gramEnd"/>
      <w:r w:rsidRPr="00973A47">
        <w:rPr>
          <w:rFonts w:asciiTheme="minorHAnsi" w:hAnsiTheme="minorHAnsi" w:cstheme="minorHAnsi"/>
        </w:rPr>
        <w:t xml:space="preserve"> Court may decide against ordering mediation.</w:t>
      </w:r>
    </w:p>
    <w:p w:rsidR="00973A47" w:rsidRPr="00973A47" w:rsidRDefault="00973A47" w:rsidP="009557AB">
      <w:pPr>
        <w:jc w:val="both"/>
        <w:rPr>
          <w:rFonts w:asciiTheme="minorHAnsi" w:hAnsiTheme="minorHAnsi" w:cstheme="minorHAnsi"/>
        </w:rPr>
      </w:pPr>
    </w:p>
    <w:p w:rsidR="00973A47" w:rsidRPr="00973A47" w:rsidRDefault="00973A47" w:rsidP="009557AB">
      <w:pPr>
        <w:numPr>
          <w:ilvl w:val="0"/>
          <w:numId w:val="5"/>
        </w:numPr>
        <w:jc w:val="both"/>
        <w:rPr>
          <w:rFonts w:asciiTheme="minorHAnsi" w:hAnsiTheme="minorHAnsi" w:cstheme="minorHAnsi"/>
        </w:rPr>
      </w:pPr>
      <w:r w:rsidRPr="00973A47">
        <w:rPr>
          <w:rFonts w:asciiTheme="minorHAnsi" w:hAnsiTheme="minorHAnsi" w:cstheme="minorHAnsi"/>
        </w:rPr>
        <w:t>The Joint Protocol describes the expected course but its terms are not mandatory.</w:t>
      </w:r>
    </w:p>
    <w:p w:rsidR="00973A47" w:rsidRPr="00973A47" w:rsidRDefault="00973A47" w:rsidP="009557AB">
      <w:pPr>
        <w:jc w:val="both"/>
        <w:rPr>
          <w:rFonts w:asciiTheme="minorHAnsi" w:hAnsiTheme="minorHAnsi" w:cstheme="minorHAnsi"/>
        </w:rPr>
      </w:pPr>
    </w:p>
    <w:p w:rsidR="00973A47" w:rsidRPr="00973A47" w:rsidRDefault="00973A47" w:rsidP="009557AB">
      <w:pPr>
        <w:numPr>
          <w:ilvl w:val="0"/>
          <w:numId w:val="5"/>
        </w:numPr>
        <w:jc w:val="both"/>
        <w:rPr>
          <w:rFonts w:asciiTheme="minorHAnsi" w:hAnsiTheme="minorHAnsi" w:cstheme="minorHAnsi"/>
        </w:rPr>
      </w:pPr>
      <w:r w:rsidRPr="00973A47">
        <w:rPr>
          <w:rFonts w:asciiTheme="minorHAnsi" w:hAnsiTheme="minorHAnsi" w:cstheme="minorHAnsi"/>
        </w:rPr>
        <w:t>The Court requires the parties to inform the Court of the outcomes of mediations ordered by the Court. A</w:t>
      </w:r>
      <w:r w:rsidR="00E56C57">
        <w:rPr>
          <w:rFonts w:asciiTheme="minorHAnsi" w:hAnsiTheme="minorHAnsi" w:cstheme="minorHAnsi"/>
        </w:rPr>
        <w:t>lso, the mediator must, within seven (7)</w:t>
      </w:r>
      <w:r w:rsidRPr="00973A47">
        <w:rPr>
          <w:rFonts w:asciiTheme="minorHAnsi" w:hAnsiTheme="minorHAnsi" w:cstheme="minorHAnsi"/>
        </w:rPr>
        <w:t xml:space="preserve"> days after the conclusion of the mediation, advise the Court of the time and date the mediation session commenced and was concluded (r</w:t>
      </w:r>
      <w:r w:rsidR="00E56C57">
        <w:rPr>
          <w:rFonts w:asciiTheme="minorHAnsi" w:hAnsiTheme="minorHAnsi" w:cstheme="minorHAnsi"/>
        </w:rPr>
        <w:t> </w:t>
      </w:r>
      <w:r w:rsidRPr="00973A47">
        <w:rPr>
          <w:rFonts w:asciiTheme="minorHAnsi" w:hAnsiTheme="minorHAnsi" w:cstheme="minorHAnsi"/>
        </w:rPr>
        <w:t>20.7 UCPR). Where a mediator is appointed under the Joint Protocol, the Court also requires the parties to provide the Joint Protocol Evaluation Information referred to in the Joint Protocol, which should be sent in writing to the Principal Registrar.</w:t>
      </w:r>
    </w:p>
    <w:p w:rsidR="00973A47" w:rsidRPr="00973A47" w:rsidRDefault="00973A47" w:rsidP="009557AB">
      <w:pPr>
        <w:jc w:val="both"/>
        <w:rPr>
          <w:rFonts w:asciiTheme="minorHAnsi" w:hAnsiTheme="minorHAnsi" w:cstheme="minorHAnsi"/>
        </w:rPr>
      </w:pPr>
    </w:p>
    <w:p w:rsidR="00973A47" w:rsidRPr="00973A47" w:rsidRDefault="00973A47" w:rsidP="009557AB">
      <w:pPr>
        <w:pStyle w:val="Heading1"/>
        <w:jc w:val="both"/>
        <w:rPr>
          <w:rFonts w:cstheme="minorHAnsi"/>
          <w:szCs w:val="24"/>
        </w:rPr>
      </w:pPr>
      <w:r w:rsidRPr="00973A47">
        <w:rPr>
          <w:rFonts w:cstheme="minorHAnsi"/>
          <w:szCs w:val="24"/>
        </w:rPr>
        <w:t>Proceedings case-managed by registrars</w:t>
      </w:r>
    </w:p>
    <w:p w:rsidR="00973A47" w:rsidRPr="00973A47" w:rsidRDefault="00973A47" w:rsidP="009557AB">
      <w:pPr>
        <w:numPr>
          <w:ilvl w:val="0"/>
          <w:numId w:val="5"/>
        </w:numPr>
        <w:jc w:val="both"/>
        <w:rPr>
          <w:rFonts w:asciiTheme="minorHAnsi" w:hAnsiTheme="minorHAnsi" w:cstheme="minorHAnsi"/>
        </w:rPr>
      </w:pPr>
      <w:r w:rsidRPr="00973A47">
        <w:rPr>
          <w:rFonts w:asciiTheme="minorHAnsi" w:hAnsiTheme="minorHAnsi" w:cstheme="minorHAnsi"/>
        </w:rPr>
        <w:t>A registrar may, at his or her discretion, refer proceedings that in the opinion of the registrar are suitable for mediation, to the Court notwithstanding that the parties, or any one of them, do not consent to mediation.</w:t>
      </w:r>
    </w:p>
    <w:p w:rsidR="00973A47" w:rsidRPr="00973A47" w:rsidRDefault="00973A47" w:rsidP="009557AB">
      <w:pPr>
        <w:jc w:val="both"/>
        <w:rPr>
          <w:rFonts w:asciiTheme="minorHAnsi" w:hAnsiTheme="minorHAnsi" w:cstheme="minorHAnsi"/>
        </w:rPr>
      </w:pPr>
    </w:p>
    <w:p w:rsidR="00973A47" w:rsidRPr="00973A47" w:rsidRDefault="00973A47" w:rsidP="009557AB">
      <w:pPr>
        <w:pStyle w:val="Heading1"/>
      </w:pPr>
      <w:r w:rsidRPr="00973A47">
        <w:t>Mediators</w:t>
      </w:r>
    </w:p>
    <w:p w:rsidR="00973A47" w:rsidRPr="00973A47" w:rsidRDefault="00973A47" w:rsidP="00E56C57">
      <w:pPr>
        <w:numPr>
          <w:ilvl w:val="0"/>
          <w:numId w:val="5"/>
        </w:numPr>
        <w:spacing w:after="120"/>
        <w:jc w:val="both"/>
        <w:rPr>
          <w:rFonts w:asciiTheme="minorHAnsi" w:hAnsiTheme="minorHAnsi" w:cstheme="minorHAnsi"/>
        </w:rPr>
      </w:pPr>
      <w:r w:rsidRPr="00973A47">
        <w:rPr>
          <w:rFonts w:asciiTheme="minorHAnsi" w:hAnsiTheme="minorHAnsi" w:cstheme="minorHAnsi"/>
        </w:rPr>
        <w:t>A person may be appointed by the Court as a mediator if the person:</w:t>
      </w:r>
    </w:p>
    <w:p w:rsidR="00973A47" w:rsidRPr="00973A47" w:rsidRDefault="00973A47" w:rsidP="009557AB">
      <w:pPr>
        <w:numPr>
          <w:ilvl w:val="1"/>
          <w:numId w:val="5"/>
        </w:numPr>
        <w:spacing w:after="120"/>
        <w:jc w:val="both"/>
        <w:rPr>
          <w:rFonts w:asciiTheme="minorHAnsi" w:hAnsiTheme="minorHAnsi" w:cstheme="minorHAnsi"/>
        </w:rPr>
      </w:pPr>
      <w:r w:rsidRPr="00973A47">
        <w:rPr>
          <w:rFonts w:asciiTheme="minorHAnsi" w:hAnsiTheme="minorHAnsi" w:cstheme="minorHAnsi"/>
        </w:rPr>
        <w:t xml:space="preserve">consents to being appointed; and </w:t>
      </w:r>
    </w:p>
    <w:p w:rsidR="00973A47" w:rsidRPr="00973A47" w:rsidRDefault="00973A47" w:rsidP="009557AB">
      <w:pPr>
        <w:pStyle w:val="BodyText2"/>
        <w:numPr>
          <w:ilvl w:val="1"/>
          <w:numId w:val="5"/>
        </w:numPr>
        <w:jc w:val="both"/>
        <w:rPr>
          <w:rFonts w:asciiTheme="minorHAnsi" w:hAnsiTheme="minorHAnsi" w:cstheme="minorHAnsi"/>
          <w:sz w:val="24"/>
          <w:szCs w:val="24"/>
        </w:rPr>
      </w:pPr>
      <w:proofErr w:type="gramStart"/>
      <w:r w:rsidRPr="00973A47">
        <w:rPr>
          <w:rFonts w:asciiTheme="minorHAnsi" w:hAnsiTheme="minorHAnsi" w:cstheme="minorHAnsi"/>
          <w:sz w:val="24"/>
          <w:szCs w:val="24"/>
        </w:rPr>
        <w:t>agrees</w:t>
      </w:r>
      <w:proofErr w:type="gramEnd"/>
      <w:r w:rsidRPr="00973A47">
        <w:rPr>
          <w:rFonts w:asciiTheme="minorHAnsi" w:hAnsiTheme="minorHAnsi" w:cstheme="minorHAnsi"/>
          <w:sz w:val="24"/>
          <w:szCs w:val="24"/>
        </w:rPr>
        <w:t xml:space="preserve"> to comply with the provisions of Part 4 of the CPA and the provisions of this Practice Note.</w:t>
      </w:r>
    </w:p>
    <w:p w:rsidR="00973A47" w:rsidRPr="00973A47" w:rsidRDefault="00973A47" w:rsidP="009557AB">
      <w:pPr>
        <w:jc w:val="both"/>
        <w:rPr>
          <w:rFonts w:asciiTheme="minorHAnsi" w:hAnsiTheme="minorHAnsi" w:cstheme="minorHAnsi"/>
        </w:rPr>
      </w:pPr>
    </w:p>
    <w:p w:rsidR="00973A47" w:rsidRPr="00973A47" w:rsidRDefault="00973A47" w:rsidP="009557AB">
      <w:pPr>
        <w:numPr>
          <w:ilvl w:val="0"/>
          <w:numId w:val="5"/>
        </w:numPr>
        <w:jc w:val="both"/>
        <w:rPr>
          <w:rFonts w:asciiTheme="minorHAnsi" w:hAnsiTheme="minorHAnsi" w:cstheme="minorHAnsi"/>
        </w:rPr>
      </w:pPr>
      <w:r w:rsidRPr="00973A47">
        <w:rPr>
          <w:rFonts w:asciiTheme="minorHAnsi" w:hAnsiTheme="minorHAnsi" w:cstheme="minorHAnsi"/>
        </w:rPr>
        <w:t>The Chief Justice may certify registrars or other officers of the Court as qualified mediators.</w:t>
      </w:r>
    </w:p>
    <w:p w:rsidR="00973A47" w:rsidRPr="00973A47" w:rsidRDefault="00973A47" w:rsidP="009557AB">
      <w:pPr>
        <w:jc w:val="both"/>
        <w:rPr>
          <w:rFonts w:asciiTheme="minorHAnsi" w:hAnsiTheme="minorHAnsi" w:cstheme="minorHAnsi"/>
        </w:rPr>
      </w:pPr>
    </w:p>
    <w:p w:rsidR="00973A47" w:rsidRPr="00973A47" w:rsidRDefault="00973A47" w:rsidP="009557AB">
      <w:pPr>
        <w:numPr>
          <w:ilvl w:val="0"/>
          <w:numId w:val="5"/>
        </w:numPr>
        <w:jc w:val="both"/>
        <w:rPr>
          <w:rFonts w:asciiTheme="minorHAnsi" w:hAnsiTheme="minorHAnsi" w:cstheme="minorHAnsi"/>
        </w:rPr>
      </w:pPr>
      <w:r w:rsidRPr="00973A47">
        <w:rPr>
          <w:rFonts w:asciiTheme="minorHAnsi" w:hAnsiTheme="minorHAnsi" w:cstheme="minorHAnsi"/>
        </w:rPr>
        <w:t>Section 33 of the CPA describes the exoneration from liability that exists for mediators appointed under the provisions of this Practice Note.</w:t>
      </w:r>
    </w:p>
    <w:p w:rsidR="00973A47" w:rsidRPr="00973A47" w:rsidRDefault="00973A47" w:rsidP="009557AB">
      <w:pPr>
        <w:jc w:val="both"/>
        <w:rPr>
          <w:rFonts w:asciiTheme="minorHAnsi" w:hAnsiTheme="minorHAnsi" w:cstheme="minorHAnsi"/>
        </w:rPr>
      </w:pPr>
    </w:p>
    <w:p w:rsidR="00973A47" w:rsidRPr="00973A47" w:rsidRDefault="00973A47" w:rsidP="009557AB">
      <w:pPr>
        <w:pStyle w:val="Heading1"/>
        <w:jc w:val="both"/>
        <w:rPr>
          <w:rFonts w:cstheme="minorHAnsi"/>
          <w:szCs w:val="24"/>
        </w:rPr>
      </w:pPr>
      <w:r w:rsidRPr="00973A47">
        <w:rPr>
          <w:rFonts w:cstheme="minorHAnsi"/>
          <w:szCs w:val="24"/>
        </w:rPr>
        <w:t>Form of order for referral to mediation</w:t>
      </w:r>
    </w:p>
    <w:p w:rsidR="00973A47" w:rsidRPr="00973A47" w:rsidRDefault="00973A47" w:rsidP="00E56C57">
      <w:pPr>
        <w:numPr>
          <w:ilvl w:val="0"/>
          <w:numId w:val="5"/>
        </w:numPr>
        <w:spacing w:after="120"/>
        <w:jc w:val="both"/>
        <w:rPr>
          <w:rFonts w:asciiTheme="minorHAnsi" w:hAnsiTheme="minorHAnsi" w:cstheme="minorHAnsi"/>
        </w:rPr>
      </w:pPr>
      <w:r w:rsidRPr="00973A47">
        <w:rPr>
          <w:rFonts w:asciiTheme="minorHAnsi" w:hAnsiTheme="minorHAnsi" w:cstheme="minorHAnsi"/>
        </w:rPr>
        <w:t>Where proceedings are referred to mediation under section 26 of the CPA, the Court’s order should provide one of the following:</w:t>
      </w:r>
    </w:p>
    <w:p w:rsidR="00973A47" w:rsidRPr="00973A47" w:rsidRDefault="00973A47" w:rsidP="009557AB">
      <w:pPr>
        <w:numPr>
          <w:ilvl w:val="1"/>
          <w:numId w:val="5"/>
        </w:numPr>
        <w:spacing w:after="120"/>
        <w:jc w:val="both"/>
        <w:rPr>
          <w:rFonts w:asciiTheme="minorHAnsi" w:hAnsiTheme="minorHAnsi" w:cstheme="minorHAnsi"/>
        </w:rPr>
      </w:pPr>
      <w:r w:rsidRPr="00973A47">
        <w:rPr>
          <w:rFonts w:asciiTheme="minorHAnsi" w:hAnsiTheme="minorHAnsi" w:cstheme="minorHAnsi"/>
        </w:rPr>
        <w:t xml:space="preserve">if the parties agree on a mediator or if the Court appoints a specific mediator (for example, where specific expertise is considered desirable), an order should be made that the proceedings be referred to that mediator; or </w:t>
      </w:r>
    </w:p>
    <w:p w:rsidR="00973A47" w:rsidRPr="00973A47" w:rsidRDefault="00973A47" w:rsidP="009557AB">
      <w:pPr>
        <w:numPr>
          <w:ilvl w:val="1"/>
          <w:numId w:val="5"/>
        </w:numPr>
        <w:spacing w:after="120"/>
        <w:jc w:val="both"/>
        <w:rPr>
          <w:rFonts w:asciiTheme="minorHAnsi" w:hAnsiTheme="minorHAnsi" w:cstheme="minorHAnsi"/>
        </w:rPr>
      </w:pPr>
      <w:r w:rsidRPr="00973A47">
        <w:rPr>
          <w:rFonts w:asciiTheme="minorHAnsi" w:hAnsiTheme="minorHAnsi" w:cstheme="minorHAnsi"/>
        </w:rPr>
        <w:t xml:space="preserve">if the Court appoints a registrar or other officer as the mediator, the order should be that the proceedings be referred to that person for mediation; or </w:t>
      </w:r>
    </w:p>
    <w:p w:rsidR="00973A47" w:rsidRPr="00973A47" w:rsidRDefault="00973A47" w:rsidP="009557AB">
      <w:pPr>
        <w:numPr>
          <w:ilvl w:val="1"/>
          <w:numId w:val="5"/>
        </w:numPr>
        <w:jc w:val="both"/>
        <w:rPr>
          <w:rFonts w:asciiTheme="minorHAnsi" w:hAnsiTheme="minorHAnsi" w:cstheme="minorHAnsi"/>
        </w:rPr>
      </w:pPr>
      <w:proofErr w:type="gramStart"/>
      <w:r w:rsidRPr="00973A47">
        <w:rPr>
          <w:rFonts w:asciiTheme="minorHAnsi" w:hAnsiTheme="minorHAnsi" w:cstheme="minorHAnsi"/>
        </w:rPr>
        <w:t>otherwise</w:t>
      </w:r>
      <w:proofErr w:type="gramEnd"/>
      <w:r w:rsidRPr="00973A47">
        <w:rPr>
          <w:rFonts w:asciiTheme="minorHAnsi" w:hAnsiTheme="minorHAnsi" w:cstheme="minorHAnsi"/>
        </w:rPr>
        <w:t>, the order should be that if the parties cannot agree on a mediator within a specified time (say 14 days) after the referral under section 26 of the CPA, the Joint Protocol described in this Practice Note then will apply and the mediator will be the person appointed under the Joint Protocol.</w:t>
      </w:r>
    </w:p>
    <w:p w:rsidR="00973A47" w:rsidRPr="00973A47" w:rsidRDefault="00973A47" w:rsidP="009557AB">
      <w:pPr>
        <w:jc w:val="both"/>
        <w:rPr>
          <w:rFonts w:asciiTheme="minorHAnsi" w:hAnsiTheme="minorHAnsi" w:cstheme="minorHAnsi"/>
        </w:rPr>
      </w:pPr>
    </w:p>
    <w:p w:rsidR="00973A47" w:rsidRPr="00973A47" w:rsidRDefault="00973A47" w:rsidP="009557AB">
      <w:pPr>
        <w:pStyle w:val="Heading1"/>
        <w:jc w:val="both"/>
        <w:rPr>
          <w:rFonts w:cstheme="minorHAnsi"/>
          <w:szCs w:val="24"/>
        </w:rPr>
      </w:pPr>
      <w:r w:rsidRPr="00973A47">
        <w:rPr>
          <w:rFonts w:cstheme="minorHAnsi"/>
          <w:szCs w:val="24"/>
        </w:rPr>
        <w:lastRenderedPageBreak/>
        <w:t>Joint Protocol: obligation of the plaintiff(s)</w:t>
      </w:r>
    </w:p>
    <w:p w:rsidR="00973A47" w:rsidRPr="00973A47" w:rsidRDefault="00973A47" w:rsidP="009557AB">
      <w:pPr>
        <w:numPr>
          <w:ilvl w:val="0"/>
          <w:numId w:val="5"/>
        </w:numPr>
        <w:jc w:val="both"/>
        <w:rPr>
          <w:rFonts w:asciiTheme="minorHAnsi" w:hAnsiTheme="minorHAnsi" w:cstheme="minorHAnsi"/>
        </w:rPr>
      </w:pPr>
      <w:r w:rsidRPr="00973A47">
        <w:rPr>
          <w:rFonts w:asciiTheme="minorHAnsi" w:hAnsiTheme="minorHAnsi" w:cstheme="minorHAnsi"/>
        </w:rPr>
        <w:t xml:space="preserve">Where the Court’s order requires a mediator to be appointed pursuant to the Joint Protocol, the plaintiff sends to the Principal Registrar a copy of the pleadings, or a copy of the summons if there are no pleadings, and informs the Principal Registrar of the </w:t>
      </w:r>
      <w:r w:rsidRPr="00973A47">
        <w:rPr>
          <w:rFonts w:asciiTheme="minorHAnsi" w:hAnsiTheme="minorHAnsi" w:cstheme="minorHAnsi"/>
          <w:b/>
          <w:bCs/>
        </w:rPr>
        <w:t>Joint Protocol Referral Information</w:t>
      </w:r>
      <w:r w:rsidRPr="00973A47">
        <w:rPr>
          <w:rFonts w:asciiTheme="minorHAnsi" w:hAnsiTheme="minorHAnsi" w:cstheme="minorHAnsi"/>
        </w:rPr>
        <w:t>. The plaintiff gives the Principal Registrar this information by letter within seven</w:t>
      </w:r>
      <w:r w:rsidR="00E56C57">
        <w:rPr>
          <w:rFonts w:asciiTheme="minorHAnsi" w:hAnsiTheme="minorHAnsi" w:cstheme="minorHAnsi"/>
        </w:rPr>
        <w:t xml:space="preserve"> (7)</w:t>
      </w:r>
      <w:r w:rsidRPr="00973A47">
        <w:rPr>
          <w:rFonts w:asciiTheme="minorHAnsi" w:hAnsiTheme="minorHAnsi" w:cstheme="minorHAnsi"/>
        </w:rPr>
        <w:t xml:space="preserve"> days of the Court’s order and at the same time gives each other party a copy.</w:t>
      </w:r>
    </w:p>
    <w:p w:rsidR="00973A47" w:rsidRPr="00973A47" w:rsidRDefault="00973A47" w:rsidP="009557AB">
      <w:pPr>
        <w:jc w:val="both"/>
        <w:rPr>
          <w:rFonts w:asciiTheme="minorHAnsi" w:hAnsiTheme="minorHAnsi" w:cstheme="minorHAnsi"/>
        </w:rPr>
      </w:pPr>
    </w:p>
    <w:p w:rsidR="00973A47" w:rsidRDefault="00973A47" w:rsidP="009557AB">
      <w:pPr>
        <w:numPr>
          <w:ilvl w:val="0"/>
          <w:numId w:val="5"/>
        </w:numPr>
        <w:spacing w:after="120"/>
        <w:jc w:val="both"/>
        <w:rPr>
          <w:rFonts w:asciiTheme="minorHAnsi" w:hAnsiTheme="minorHAnsi" w:cstheme="minorHAnsi"/>
        </w:rPr>
      </w:pPr>
      <w:r w:rsidRPr="00973A47">
        <w:rPr>
          <w:rFonts w:asciiTheme="minorHAnsi" w:hAnsiTheme="minorHAnsi" w:cstheme="minorHAnsi"/>
        </w:rPr>
        <w:t>The Joint Protocol Referral Information is:</w:t>
      </w:r>
    </w:p>
    <w:p w:rsidR="00973A47" w:rsidRPr="00973A47" w:rsidRDefault="00973A47" w:rsidP="009557AB">
      <w:pPr>
        <w:numPr>
          <w:ilvl w:val="1"/>
          <w:numId w:val="5"/>
        </w:numPr>
        <w:tabs>
          <w:tab w:val="clear" w:pos="1080"/>
          <w:tab w:val="num" w:pos="927"/>
        </w:tabs>
        <w:spacing w:after="120"/>
        <w:ind w:left="927"/>
        <w:jc w:val="both"/>
        <w:rPr>
          <w:rFonts w:asciiTheme="minorHAnsi" w:hAnsiTheme="minorHAnsi" w:cstheme="minorHAnsi"/>
        </w:rPr>
      </w:pPr>
      <w:r w:rsidRPr="00973A47">
        <w:rPr>
          <w:rFonts w:asciiTheme="minorHAnsi" w:hAnsiTheme="minorHAnsi" w:cstheme="minorHAnsi"/>
        </w:rPr>
        <w:t>the Court’s order referring the proceedings to mediation;</w:t>
      </w:r>
    </w:p>
    <w:p w:rsidR="00973A47" w:rsidRPr="00973A47" w:rsidRDefault="00973A47" w:rsidP="009557AB">
      <w:pPr>
        <w:numPr>
          <w:ilvl w:val="1"/>
          <w:numId w:val="5"/>
        </w:numPr>
        <w:spacing w:after="120"/>
        <w:ind w:left="927"/>
        <w:jc w:val="both"/>
        <w:rPr>
          <w:rFonts w:asciiTheme="minorHAnsi" w:hAnsiTheme="minorHAnsi" w:cstheme="minorHAnsi"/>
        </w:rPr>
      </w:pPr>
      <w:r w:rsidRPr="00973A47">
        <w:rPr>
          <w:rFonts w:asciiTheme="minorHAnsi" w:hAnsiTheme="minorHAnsi" w:cstheme="minorHAnsi"/>
        </w:rPr>
        <w:t>the nature of the proceedings; and</w:t>
      </w:r>
    </w:p>
    <w:p w:rsidR="00973A47" w:rsidRPr="00973A47" w:rsidRDefault="00973A47" w:rsidP="009557AB">
      <w:pPr>
        <w:numPr>
          <w:ilvl w:val="1"/>
          <w:numId w:val="5"/>
        </w:numPr>
        <w:ind w:left="927"/>
        <w:jc w:val="both"/>
        <w:rPr>
          <w:rFonts w:asciiTheme="minorHAnsi" w:hAnsiTheme="minorHAnsi" w:cstheme="minorHAnsi"/>
        </w:rPr>
      </w:pPr>
      <w:proofErr w:type="gramStart"/>
      <w:r w:rsidRPr="00973A47">
        <w:rPr>
          <w:rFonts w:asciiTheme="minorHAnsi" w:hAnsiTheme="minorHAnsi" w:cstheme="minorHAnsi"/>
        </w:rPr>
        <w:t>the</w:t>
      </w:r>
      <w:proofErr w:type="gramEnd"/>
      <w:r w:rsidRPr="00973A47">
        <w:rPr>
          <w:rFonts w:asciiTheme="minorHAnsi" w:hAnsiTheme="minorHAnsi" w:cstheme="minorHAnsi"/>
        </w:rPr>
        <w:t xml:space="preserve"> identity of the parties.</w:t>
      </w:r>
    </w:p>
    <w:p w:rsidR="00973A47" w:rsidRPr="00973A47" w:rsidRDefault="00973A47" w:rsidP="009557AB">
      <w:pPr>
        <w:jc w:val="both"/>
        <w:rPr>
          <w:rFonts w:asciiTheme="minorHAnsi" w:hAnsiTheme="minorHAnsi" w:cstheme="minorHAnsi"/>
        </w:rPr>
      </w:pPr>
    </w:p>
    <w:p w:rsidR="00973A47" w:rsidRPr="00973A47" w:rsidRDefault="00973A47" w:rsidP="009557AB">
      <w:pPr>
        <w:pStyle w:val="Heading1"/>
        <w:jc w:val="both"/>
      </w:pPr>
      <w:r w:rsidRPr="00973A47">
        <w:t>Joint Protocol: role of the Principal Registrar</w:t>
      </w:r>
    </w:p>
    <w:p w:rsidR="00973A47" w:rsidRPr="00973A47" w:rsidRDefault="00973A47" w:rsidP="009557AB">
      <w:pPr>
        <w:numPr>
          <w:ilvl w:val="0"/>
          <w:numId w:val="5"/>
        </w:numPr>
        <w:jc w:val="both"/>
        <w:rPr>
          <w:rFonts w:asciiTheme="minorHAnsi" w:hAnsiTheme="minorHAnsi" w:cstheme="minorHAnsi"/>
        </w:rPr>
      </w:pPr>
      <w:r w:rsidRPr="00973A47">
        <w:rPr>
          <w:rFonts w:asciiTheme="minorHAnsi" w:hAnsiTheme="minorHAnsi" w:cstheme="minorHAnsi"/>
        </w:rPr>
        <w:t>The Principal Registrar keeps a list of proceedings in which the plaintiff(s) has informed him or her of the Joint Protocol Referral Information.</w:t>
      </w:r>
    </w:p>
    <w:p w:rsidR="00973A47" w:rsidRPr="00973A47" w:rsidRDefault="00973A47" w:rsidP="009557AB">
      <w:pPr>
        <w:jc w:val="both"/>
        <w:rPr>
          <w:rFonts w:asciiTheme="minorHAnsi" w:hAnsiTheme="minorHAnsi" w:cstheme="minorHAnsi"/>
        </w:rPr>
      </w:pPr>
    </w:p>
    <w:p w:rsidR="00973A47" w:rsidRPr="00973A47" w:rsidRDefault="00973A47" w:rsidP="009557AB">
      <w:pPr>
        <w:numPr>
          <w:ilvl w:val="0"/>
          <w:numId w:val="5"/>
        </w:numPr>
        <w:jc w:val="both"/>
        <w:rPr>
          <w:rFonts w:asciiTheme="minorHAnsi" w:hAnsiTheme="minorHAnsi" w:cstheme="minorHAnsi"/>
        </w:rPr>
      </w:pPr>
      <w:r w:rsidRPr="00973A47">
        <w:rPr>
          <w:rFonts w:asciiTheme="minorHAnsi" w:hAnsiTheme="minorHAnsi" w:cstheme="minorHAnsi"/>
        </w:rPr>
        <w:t xml:space="preserve">The Principal Registrar sends the Joint Protocol Referral Information and accompanying documents to one of the nominating entities listed at paragraph </w:t>
      </w:r>
      <w:r w:rsidR="0096618F">
        <w:rPr>
          <w:rFonts w:asciiTheme="minorHAnsi" w:hAnsiTheme="minorHAnsi" w:cstheme="minorHAnsi"/>
        </w:rPr>
        <w:fldChar w:fldCharType="begin"/>
      </w:r>
      <w:r w:rsidR="0096618F">
        <w:rPr>
          <w:rFonts w:asciiTheme="minorHAnsi" w:hAnsiTheme="minorHAnsi" w:cstheme="minorHAnsi"/>
        </w:rPr>
        <w:instrText xml:space="preserve"> REF _Ref508288443 \r \h </w:instrText>
      </w:r>
      <w:r w:rsidR="0096618F">
        <w:rPr>
          <w:rFonts w:asciiTheme="minorHAnsi" w:hAnsiTheme="minorHAnsi" w:cstheme="minorHAnsi"/>
        </w:rPr>
      </w:r>
      <w:r w:rsidR="0096618F">
        <w:rPr>
          <w:rFonts w:asciiTheme="minorHAnsi" w:hAnsiTheme="minorHAnsi" w:cstheme="minorHAnsi"/>
        </w:rPr>
        <w:fldChar w:fldCharType="separate"/>
      </w:r>
      <w:r w:rsidR="004413DC">
        <w:rPr>
          <w:rFonts w:asciiTheme="minorHAnsi" w:hAnsiTheme="minorHAnsi" w:cstheme="minorHAnsi"/>
        </w:rPr>
        <w:t>21</w:t>
      </w:r>
      <w:r w:rsidR="0096618F">
        <w:rPr>
          <w:rFonts w:asciiTheme="minorHAnsi" w:hAnsiTheme="minorHAnsi" w:cstheme="minorHAnsi"/>
        </w:rPr>
        <w:fldChar w:fldCharType="end"/>
      </w:r>
      <w:r w:rsidRPr="00973A47">
        <w:rPr>
          <w:rFonts w:asciiTheme="minorHAnsi" w:hAnsiTheme="minorHAnsi" w:cstheme="minorHAnsi"/>
        </w:rPr>
        <w:t>, with a request for nomination of a person as the mediator in the proceedings. The Principal Registrar sends the information on the day of receiving it or the following day.</w:t>
      </w:r>
    </w:p>
    <w:p w:rsidR="00973A47" w:rsidRPr="00973A47" w:rsidRDefault="00973A47" w:rsidP="009557AB">
      <w:pPr>
        <w:jc w:val="both"/>
        <w:rPr>
          <w:rFonts w:asciiTheme="minorHAnsi" w:hAnsiTheme="minorHAnsi" w:cstheme="minorHAnsi"/>
        </w:rPr>
      </w:pPr>
    </w:p>
    <w:p w:rsidR="00973A47" w:rsidRPr="00973A47" w:rsidRDefault="00973A47" w:rsidP="009557AB">
      <w:pPr>
        <w:pStyle w:val="Heading1"/>
        <w:jc w:val="both"/>
      </w:pPr>
      <w:r w:rsidRPr="00973A47">
        <w:t>Nominating entities in the Joint Protocol</w:t>
      </w:r>
    </w:p>
    <w:p w:rsidR="00973A47" w:rsidRPr="00973A47" w:rsidRDefault="00973A47" w:rsidP="009557AB">
      <w:pPr>
        <w:numPr>
          <w:ilvl w:val="0"/>
          <w:numId w:val="5"/>
        </w:numPr>
        <w:jc w:val="both"/>
        <w:rPr>
          <w:rFonts w:asciiTheme="minorHAnsi" w:hAnsiTheme="minorHAnsi" w:cstheme="minorHAnsi"/>
        </w:rPr>
      </w:pPr>
      <w:r w:rsidRPr="00973A47">
        <w:rPr>
          <w:rFonts w:asciiTheme="minorHAnsi" w:hAnsiTheme="minorHAnsi" w:cstheme="minorHAnsi"/>
        </w:rPr>
        <w:t>The Court’s Alternative Dispute Resolution Steering Committee keeps a list of professional associations that accredit mediators and provide mediation services suitable for Supreme Court proceedings.</w:t>
      </w:r>
    </w:p>
    <w:p w:rsidR="00973A47" w:rsidRPr="00973A47" w:rsidRDefault="00973A47" w:rsidP="009557AB">
      <w:pPr>
        <w:jc w:val="both"/>
        <w:rPr>
          <w:rFonts w:asciiTheme="minorHAnsi" w:hAnsiTheme="minorHAnsi" w:cstheme="minorHAnsi"/>
        </w:rPr>
      </w:pPr>
    </w:p>
    <w:p w:rsidR="00973A47" w:rsidRPr="00973A47" w:rsidRDefault="00973A47" w:rsidP="0096618F">
      <w:pPr>
        <w:numPr>
          <w:ilvl w:val="0"/>
          <w:numId w:val="5"/>
        </w:numPr>
        <w:spacing w:after="120"/>
        <w:jc w:val="both"/>
        <w:rPr>
          <w:rFonts w:asciiTheme="minorHAnsi" w:hAnsiTheme="minorHAnsi" w:cstheme="minorHAnsi"/>
        </w:rPr>
      </w:pPr>
      <w:bookmarkStart w:id="1" w:name="_Ref508288443"/>
      <w:r w:rsidRPr="00973A47">
        <w:rPr>
          <w:rFonts w:asciiTheme="minorHAnsi" w:hAnsiTheme="minorHAnsi" w:cstheme="minorHAnsi"/>
        </w:rPr>
        <w:t>The nominating entities are:</w:t>
      </w:r>
      <w:bookmarkEnd w:id="1"/>
    </w:p>
    <w:p w:rsidR="00973A47" w:rsidRPr="00973A47" w:rsidRDefault="00973A47" w:rsidP="009557AB">
      <w:pPr>
        <w:numPr>
          <w:ilvl w:val="0"/>
          <w:numId w:val="17"/>
        </w:numPr>
        <w:spacing w:after="120"/>
        <w:jc w:val="both"/>
        <w:rPr>
          <w:rFonts w:asciiTheme="minorHAnsi" w:hAnsiTheme="minorHAnsi" w:cstheme="minorHAnsi"/>
        </w:rPr>
      </w:pPr>
      <w:r w:rsidRPr="00973A47">
        <w:rPr>
          <w:rFonts w:asciiTheme="minorHAnsi" w:hAnsiTheme="minorHAnsi" w:cstheme="minorHAnsi"/>
        </w:rPr>
        <w:t>the NSW Bar Association;</w:t>
      </w:r>
    </w:p>
    <w:p w:rsidR="00973A47" w:rsidRDefault="00973A47" w:rsidP="009557AB">
      <w:pPr>
        <w:numPr>
          <w:ilvl w:val="0"/>
          <w:numId w:val="17"/>
        </w:numPr>
        <w:spacing w:after="120"/>
        <w:jc w:val="both"/>
        <w:rPr>
          <w:rFonts w:asciiTheme="minorHAnsi" w:hAnsiTheme="minorHAnsi" w:cstheme="minorHAnsi"/>
        </w:rPr>
      </w:pPr>
      <w:r w:rsidRPr="00973A47">
        <w:rPr>
          <w:rFonts w:asciiTheme="minorHAnsi" w:hAnsiTheme="minorHAnsi" w:cstheme="minorHAnsi"/>
        </w:rPr>
        <w:t>the Law Society of New South Wales;</w:t>
      </w:r>
    </w:p>
    <w:p w:rsidR="00973A47" w:rsidRPr="00973A47" w:rsidRDefault="00973A47" w:rsidP="009557AB">
      <w:pPr>
        <w:numPr>
          <w:ilvl w:val="0"/>
          <w:numId w:val="17"/>
        </w:numPr>
        <w:spacing w:after="120"/>
        <w:jc w:val="both"/>
        <w:rPr>
          <w:rFonts w:asciiTheme="minorHAnsi" w:hAnsiTheme="minorHAnsi" w:cstheme="minorHAnsi"/>
        </w:rPr>
      </w:pPr>
      <w:r>
        <w:rPr>
          <w:rFonts w:asciiTheme="minorHAnsi" w:hAnsiTheme="minorHAnsi" w:cstheme="minorHAnsi"/>
        </w:rPr>
        <w:t>the Resolution Institute;</w:t>
      </w:r>
    </w:p>
    <w:p w:rsidR="00973A47" w:rsidRPr="00973A47" w:rsidRDefault="00973A47" w:rsidP="009557AB">
      <w:pPr>
        <w:numPr>
          <w:ilvl w:val="0"/>
          <w:numId w:val="17"/>
        </w:numPr>
        <w:spacing w:after="120"/>
        <w:jc w:val="both"/>
        <w:rPr>
          <w:rFonts w:asciiTheme="minorHAnsi" w:hAnsiTheme="minorHAnsi" w:cstheme="minorHAnsi"/>
        </w:rPr>
      </w:pPr>
      <w:r w:rsidRPr="00973A47">
        <w:rPr>
          <w:rFonts w:asciiTheme="minorHAnsi" w:hAnsiTheme="minorHAnsi" w:cstheme="minorHAnsi"/>
        </w:rPr>
        <w:t>the Australian Commercial Disputes Centre;</w:t>
      </w:r>
      <w:r>
        <w:rPr>
          <w:rFonts w:asciiTheme="minorHAnsi" w:hAnsiTheme="minorHAnsi" w:cstheme="minorHAnsi"/>
        </w:rPr>
        <w:t xml:space="preserve"> and</w:t>
      </w:r>
    </w:p>
    <w:p w:rsidR="00973A47" w:rsidRPr="00973A47" w:rsidRDefault="00973A47" w:rsidP="009557AB">
      <w:pPr>
        <w:numPr>
          <w:ilvl w:val="0"/>
          <w:numId w:val="17"/>
        </w:numPr>
        <w:jc w:val="both"/>
        <w:rPr>
          <w:rFonts w:asciiTheme="minorHAnsi" w:hAnsiTheme="minorHAnsi" w:cstheme="minorHAnsi"/>
        </w:rPr>
      </w:pPr>
      <w:proofErr w:type="gramStart"/>
      <w:r w:rsidRPr="00973A47">
        <w:rPr>
          <w:rFonts w:asciiTheme="minorHAnsi" w:hAnsiTheme="minorHAnsi" w:cstheme="minorHAnsi"/>
        </w:rPr>
        <w:t>the</w:t>
      </w:r>
      <w:proofErr w:type="gramEnd"/>
      <w:r w:rsidRPr="00973A47">
        <w:rPr>
          <w:rFonts w:asciiTheme="minorHAnsi" w:hAnsiTheme="minorHAnsi" w:cstheme="minorHAnsi"/>
        </w:rPr>
        <w:t xml:space="preserve"> Australian Branch of the Chartered Institute of Arbitrators.</w:t>
      </w:r>
    </w:p>
    <w:p w:rsidR="00973A47" w:rsidRPr="00973A47" w:rsidRDefault="00973A47" w:rsidP="009557AB">
      <w:pPr>
        <w:jc w:val="both"/>
        <w:rPr>
          <w:rFonts w:asciiTheme="minorHAnsi" w:hAnsiTheme="minorHAnsi" w:cstheme="minorHAnsi"/>
        </w:rPr>
      </w:pPr>
    </w:p>
    <w:p w:rsidR="00973A47" w:rsidRPr="00973A47" w:rsidRDefault="00973A47" w:rsidP="009557AB">
      <w:pPr>
        <w:pStyle w:val="Heading1"/>
        <w:jc w:val="both"/>
      </w:pPr>
      <w:r w:rsidRPr="00973A47">
        <w:t>The nominating entities’ fees for mediation</w:t>
      </w:r>
    </w:p>
    <w:p w:rsidR="00DE1F6A" w:rsidRPr="00DE1F6A" w:rsidRDefault="00DE1F6A" w:rsidP="009557AB">
      <w:pPr>
        <w:numPr>
          <w:ilvl w:val="0"/>
          <w:numId w:val="5"/>
        </w:numPr>
        <w:jc w:val="both"/>
        <w:rPr>
          <w:rFonts w:asciiTheme="minorHAnsi" w:hAnsiTheme="minorHAnsi" w:cstheme="minorHAnsi"/>
        </w:rPr>
      </w:pPr>
      <w:r>
        <w:rPr>
          <w:rFonts w:asciiTheme="minorHAnsi" w:hAnsiTheme="minorHAnsi" w:cstheme="minorHAnsi"/>
        </w:rPr>
        <w:t>Any fees incurred by the Court from a nominating entity will be charged to and apportioned to the parties to the proceeding in equal shares.</w:t>
      </w:r>
    </w:p>
    <w:p w:rsidR="00DE1F6A" w:rsidRDefault="00DE1F6A" w:rsidP="009557AB">
      <w:pPr>
        <w:ind w:left="567"/>
        <w:jc w:val="both"/>
        <w:rPr>
          <w:rFonts w:asciiTheme="minorHAnsi" w:hAnsiTheme="minorHAnsi" w:cstheme="minorHAnsi"/>
        </w:rPr>
      </w:pPr>
    </w:p>
    <w:p w:rsidR="00973A47" w:rsidRPr="00973A47" w:rsidRDefault="00973A47" w:rsidP="009557AB">
      <w:pPr>
        <w:numPr>
          <w:ilvl w:val="0"/>
          <w:numId w:val="5"/>
        </w:numPr>
        <w:jc w:val="both"/>
        <w:rPr>
          <w:rFonts w:asciiTheme="minorHAnsi" w:hAnsiTheme="minorHAnsi" w:cstheme="minorHAnsi"/>
        </w:rPr>
      </w:pPr>
      <w:r w:rsidRPr="00973A47">
        <w:rPr>
          <w:rFonts w:asciiTheme="minorHAnsi" w:hAnsiTheme="minorHAnsi" w:cstheme="minorHAnsi"/>
        </w:rPr>
        <w:t>The Court may request that the President or Chief Executive Officer of any of the nominating entities consider providing mediation on a reduced or no fee basis.</w:t>
      </w:r>
    </w:p>
    <w:p w:rsidR="00973A47" w:rsidRPr="00973A47" w:rsidRDefault="00973A47" w:rsidP="009557AB">
      <w:pPr>
        <w:jc w:val="both"/>
        <w:rPr>
          <w:rFonts w:asciiTheme="minorHAnsi" w:hAnsiTheme="minorHAnsi" w:cstheme="minorHAnsi"/>
        </w:rPr>
      </w:pPr>
    </w:p>
    <w:p w:rsidR="00973A47" w:rsidRPr="00973A47" w:rsidRDefault="00973A47" w:rsidP="009557AB">
      <w:pPr>
        <w:pStyle w:val="Heading1"/>
        <w:jc w:val="both"/>
      </w:pPr>
      <w:r w:rsidRPr="00973A47">
        <w:lastRenderedPageBreak/>
        <w:t>Role of the nominating entity</w:t>
      </w:r>
    </w:p>
    <w:p w:rsidR="00973A47" w:rsidRPr="00973A47" w:rsidRDefault="00973A47" w:rsidP="009557AB">
      <w:pPr>
        <w:numPr>
          <w:ilvl w:val="0"/>
          <w:numId w:val="5"/>
        </w:numPr>
        <w:jc w:val="both"/>
        <w:rPr>
          <w:rFonts w:asciiTheme="minorHAnsi" w:hAnsiTheme="minorHAnsi" w:cstheme="minorHAnsi"/>
        </w:rPr>
      </w:pPr>
      <w:r w:rsidRPr="00973A47">
        <w:rPr>
          <w:rFonts w:asciiTheme="minorHAnsi" w:hAnsiTheme="minorHAnsi" w:cstheme="minorHAnsi"/>
        </w:rPr>
        <w:t>Each of the nominating entities establishes a panel of suitable persons to whom Court ordered mediations may be referred. Each nominating entity regularly reviews its panels.</w:t>
      </w:r>
    </w:p>
    <w:p w:rsidR="00973A47" w:rsidRPr="00973A47" w:rsidRDefault="00973A47" w:rsidP="009557AB">
      <w:pPr>
        <w:jc w:val="both"/>
        <w:rPr>
          <w:rFonts w:asciiTheme="minorHAnsi" w:hAnsiTheme="minorHAnsi" w:cstheme="minorHAnsi"/>
        </w:rPr>
      </w:pPr>
    </w:p>
    <w:p w:rsidR="00973A47" w:rsidRPr="00973A47" w:rsidRDefault="00973A47" w:rsidP="00E56C57">
      <w:pPr>
        <w:pStyle w:val="BodyText3"/>
        <w:numPr>
          <w:ilvl w:val="0"/>
          <w:numId w:val="5"/>
        </w:numPr>
        <w:spacing w:after="120"/>
        <w:jc w:val="both"/>
        <w:rPr>
          <w:rFonts w:asciiTheme="minorHAnsi" w:hAnsiTheme="minorHAnsi" w:cstheme="minorHAnsi"/>
          <w:sz w:val="24"/>
          <w:szCs w:val="24"/>
        </w:rPr>
      </w:pPr>
      <w:bookmarkStart w:id="2" w:name="_Ref508288487"/>
      <w:r w:rsidRPr="00973A47">
        <w:rPr>
          <w:rFonts w:asciiTheme="minorHAnsi" w:hAnsiTheme="minorHAnsi" w:cstheme="minorHAnsi"/>
          <w:sz w:val="24"/>
          <w:szCs w:val="24"/>
        </w:rPr>
        <w:t>Within seven days of receiving the Joint Protocol Referral Information the President, the Chief Executive Officer or a delegate nominates in writing a person who:</w:t>
      </w:r>
      <w:bookmarkEnd w:id="2"/>
    </w:p>
    <w:p w:rsidR="00973A47" w:rsidRPr="00973A47" w:rsidRDefault="00973A47" w:rsidP="009557AB">
      <w:pPr>
        <w:numPr>
          <w:ilvl w:val="0"/>
          <w:numId w:val="18"/>
        </w:numPr>
        <w:spacing w:after="120"/>
        <w:jc w:val="both"/>
        <w:rPr>
          <w:rFonts w:asciiTheme="minorHAnsi" w:hAnsiTheme="minorHAnsi" w:cstheme="minorHAnsi"/>
        </w:rPr>
      </w:pPr>
      <w:r w:rsidRPr="00973A47">
        <w:rPr>
          <w:rFonts w:asciiTheme="minorHAnsi" w:hAnsiTheme="minorHAnsi" w:cstheme="minorHAnsi"/>
        </w:rPr>
        <w:t>is a suitably qualified and experienced person, and</w:t>
      </w:r>
    </w:p>
    <w:p w:rsidR="00973A47" w:rsidRPr="00973A47" w:rsidRDefault="00973A47" w:rsidP="009557AB">
      <w:pPr>
        <w:numPr>
          <w:ilvl w:val="0"/>
          <w:numId w:val="18"/>
        </w:numPr>
        <w:jc w:val="both"/>
        <w:rPr>
          <w:rFonts w:asciiTheme="minorHAnsi" w:hAnsiTheme="minorHAnsi" w:cstheme="minorHAnsi"/>
        </w:rPr>
      </w:pPr>
      <w:proofErr w:type="gramStart"/>
      <w:r w:rsidRPr="00973A47">
        <w:rPr>
          <w:rFonts w:asciiTheme="minorHAnsi" w:hAnsiTheme="minorHAnsi" w:cstheme="minorHAnsi"/>
        </w:rPr>
        <w:t>consents</w:t>
      </w:r>
      <w:proofErr w:type="gramEnd"/>
      <w:r w:rsidRPr="00973A47">
        <w:rPr>
          <w:rFonts w:asciiTheme="minorHAnsi" w:hAnsiTheme="minorHAnsi" w:cstheme="minorHAnsi"/>
        </w:rPr>
        <w:t xml:space="preserve"> to the nomination as the mediator in the proceedings. </w:t>
      </w:r>
    </w:p>
    <w:p w:rsidR="00973A47" w:rsidRPr="00973A47" w:rsidRDefault="00973A47" w:rsidP="009557AB">
      <w:pPr>
        <w:ind w:left="360"/>
        <w:jc w:val="both"/>
        <w:rPr>
          <w:rFonts w:asciiTheme="minorHAnsi" w:hAnsiTheme="minorHAnsi" w:cstheme="minorHAnsi"/>
        </w:rPr>
      </w:pPr>
    </w:p>
    <w:p w:rsidR="00973A47" w:rsidRPr="00973A47" w:rsidRDefault="00973A47" w:rsidP="009557AB">
      <w:pPr>
        <w:pStyle w:val="BodyTextIndent2"/>
        <w:ind w:left="567"/>
        <w:jc w:val="both"/>
        <w:rPr>
          <w:rFonts w:asciiTheme="minorHAnsi" w:hAnsiTheme="minorHAnsi" w:cstheme="minorHAnsi"/>
          <w:sz w:val="24"/>
          <w:szCs w:val="24"/>
        </w:rPr>
      </w:pPr>
      <w:r w:rsidRPr="00973A47">
        <w:rPr>
          <w:rFonts w:asciiTheme="minorHAnsi" w:hAnsiTheme="minorHAnsi" w:cstheme="minorHAnsi"/>
          <w:sz w:val="24"/>
          <w:szCs w:val="24"/>
        </w:rPr>
        <w:t>The representative of the nominating entity then provides the telephone number, facsimile number and email address of the mediator to the Principal Registrar.</w:t>
      </w:r>
    </w:p>
    <w:p w:rsidR="00973A47" w:rsidRPr="00973A47" w:rsidRDefault="00973A47" w:rsidP="009557AB">
      <w:pPr>
        <w:jc w:val="both"/>
        <w:rPr>
          <w:rFonts w:asciiTheme="minorHAnsi" w:hAnsiTheme="minorHAnsi" w:cstheme="minorHAnsi"/>
        </w:rPr>
      </w:pPr>
    </w:p>
    <w:p w:rsidR="00973A47" w:rsidRPr="00973A47" w:rsidRDefault="00973A47" w:rsidP="009557AB">
      <w:pPr>
        <w:numPr>
          <w:ilvl w:val="0"/>
          <w:numId w:val="5"/>
        </w:numPr>
        <w:jc w:val="both"/>
        <w:rPr>
          <w:rFonts w:asciiTheme="minorHAnsi" w:hAnsiTheme="minorHAnsi" w:cstheme="minorHAnsi"/>
        </w:rPr>
      </w:pPr>
      <w:r w:rsidRPr="00973A47">
        <w:rPr>
          <w:rFonts w:asciiTheme="minorHAnsi" w:hAnsiTheme="minorHAnsi" w:cstheme="minorHAnsi"/>
        </w:rPr>
        <w:t>The person nominated is a person named on the panel of a nominating entity, but not necessarily on the panel of the nominating entity to which the Principal Registrar sent the Joint Protocol Referral Information.</w:t>
      </w:r>
    </w:p>
    <w:p w:rsidR="00973A47" w:rsidRPr="00973A47" w:rsidRDefault="00973A47" w:rsidP="009557AB">
      <w:pPr>
        <w:jc w:val="both"/>
        <w:rPr>
          <w:rFonts w:asciiTheme="minorHAnsi" w:hAnsiTheme="minorHAnsi" w:cstheme="minorHAnsi"/>
        </w:rPr>
      </w:pPr>
    </w:p>
    <w:p w:rsidR="00973A47" w:rsidRPr="00973A47" w:rsidRDefault="00973A47" w:rsidP="009557AB">
      <w:pPr>
        <w:numPr>
          <w:ilvl w:val="0"/>
          <w:numId w:val="5"/>
        </w:numPr>
        <w:jc w:val="both"/>
        <w:rPr>
          <w:rFonts w:asciiTheme="minorHAnsi" w:hAnsiTheme="minorHAnsi" w:cstheme="minorHAnsi"/>
        </w:rPr>
      </w:pPr>
      <w:bookmarkStart w:id="3" w:name="_Ref508288619"/>
      <w:r w:rsidRPr="00973A47">
        <w:rPr>
          <w:rFonts w:asciiTheme="minorHAnsi" w:hAnsiTheme="minorHAnsi" w:cstheme="minorHAnsi"/>
        </w:rPr>
        <w:t>Where the Court has requested mediation on a reduced or no fee basis the nominating entity endeavours to nominate a mediator who will provide mediation services on this basis.</w:t>
      </w:r>
      <w:bookmarkEnd w:id="3"/>
    </w:p>
    <w:p w:rsidR="00973A47" w:rsidRPr="00973A47" w:rsidRDefault="00973A47" w:rsidP="009557AB">
      <w:pPr>
        <w:jc w:val="both"/>
        <w:rPr>
          <w:rFonts w:asciiTheme="minorHAnsi" w:hAnsiTheme="minorHAnsi" w:cstheme="minorHAnsi"/>
        </w:rPr>
      </w:pPr>
    </w:p>
    <w:p w:rsidR="00973A47" w:rsidRPr="00973A47" w:rsidRDefault="00973A47" w:rsidP="009557AB">
      <w:pPr>
        <w:numPr>
          <w:ilvl w:val="0"/>
          <w:numId w:val="5"/>
        </w:numPr>
        <w:jc w:val="both"/>
        <w:rPr>
          <w:rFonts w:asciiTheme="minorHAnsi" w:hAnsiTheme="minorHAnsi" w:cstheme="minorHAnsi"/>
        </w:rPr>
      </w:pPr>
      <w:r w:rsidRPr="00973A47">
        <w:rPr>
          <w:rFonts w:asciiTheme="minorHAnsi" w:hAnsiTheme="minorHAnsi" w:cstheme="minorHAnsi"/>
        </w:rPr>
        <w:t>A co-mediator can also be nominated if the President, Chief Executive Officer or delegate considers that this is warranted.</w:t>
      </w:r>
    </w:p>
    <w:p w:rsidR="00973A47" w:rsidRPr="00973A47" w:rsidRDefault="00973A47" w:rsidP="009557AB">
      <w:pPr>
        <w:jc w:val="both"/>
        <w:rPr>
          <w:rFonts w:asciiTheme="minorHAnsi" w:hAnsiTheme="minorHAnsi" w:cstheme="minorHAnsi"/>
        </w:rPr>
      </w:pPr>
    </w:p>
    <w:p w:rsidR="00973A47" w:rsidRPr="00973A47" w:rsidRDefault="00973A47" w:rsidP="009557AB">
      <w:pPr>
        <w:pStyle w:val="Heading1"/>
        <w:jc w:val="both"/>
      </w:pPr>
      <w:r w:rsidRPr="00973A47">
        <w:t>Effective date of appointment of mediator</w:t>
      </w:r>
    </w:p>
    <w:p w:rsidR="00973A47" w:rsidRPr="00973A47" w:rsidRDefault="00973A47" w:rsidP="009557AB">
      <w:pPr>
        <w:numPr>
          <w:ilvl w:val="0"/>
          <w:numId w:val="5"/>
        </w:numPr>
        <w:jc w:val="both"/>
        <w:rPr>
          <w:rFonts w:asciiTheme="minorHAnsi" w:hAnsiTheme="minorHAnsi" w:cstheme="minorHAnsi"/>
        </w:rPr>
      </w:pPr>
      <w:bookmarkStart w:id="4" w:name="_Ref508288667"/>
      <w:r w:rsidRPr="00973A47">
        <w:rPr>
          <w:rFonts w:asciiTheme="minorHAnsi" w:hAnsiTheme="minorHAnsi" w:cstheme="minorHAnsi"/>
        </w:rPr>
        <w:t xml:space="preserve">On receipt of a nomination under paragraph </w:t>
      </w:r>
      <w:r w:rsidR="0096618F">
        <w:rPr>
          <w:rFonts w:asciiTheme="minorHAnsi" w:hAnsiTheme="minorHAnsi" w:cstheme="minorHAnsi"/>
        </w:rPr>
        <w:fldChar w:fldCharType="begin"/>
      </w:r>
      <w:r w:rsidR="0096618F">
        <w:rPr>
          <w:rFonts w:asciiTheme="minorHAnsi" w:hAnsiTheme="minorHAnsi" w:cstheme="minorHAnsi"/>
        </w:rPr>
        <w:instrText xml:space="preserve"> REF _Ref508288487 \r \h </w:instrText>
      </w:r>
      <w:r w:rsidR="0096618F">
        <w:rPr>
          <w:rFonts w:asciiTheme="minorHAnsi" w:hAnsiTheme="minorHAnsi" w:cstheme="minorHAnsi"/>
        </w:rPr>
      </w:r>
      <w:r w:rsidR="0096618F">
        <w:rPr>
          <w:rFonts w:asciiTheme="minorHAnsi" w:hAnsiTheme="minorHAnsi" w:cstheme="minorHAnsi"/>
        </w:rPr>
        <w:fldChar w:fldCharType="separate"/>
      </w:r>
      <w:r w:rsidR="004413DC">
        <w:rPr>
          <w:rFonts w:asciiTheme="minorHAnsi" w:hAnsiTheme="minorHAnsi" w:cstheme="minorHAnsi"/>
        </w:rPr>
        <w:t>25</w:t>
      </w:r>
      <w:r w:rsidR="0096618F">
        <w:rPr>
          <w:rFonts w:asciiTheme="minorHAnsi" w:hAnsiTheme="minorHAnsi" w:cstheme="minorHAnsi"/>
        </w:rPr>
        <w:fldChar w:fldCharType="end"/>
      </w:r>
      <w:r w:rsidRPr="00973A47">
        <w:rPr>
          <w:rFonts w:asciiTheme="minorHAnsi" w:hAnsiTheme="minorHAnsi" w:cstheme="minorHAnsi"/>
        </w:rPr>
        <w:t xml:space="preserve"> (and under paragraph</w:t>
      </w:r>
      <w:r w:rsidR="0096618F">
        <w:rPr>
          <w:rFonts w:asciiTheme="minorHAnsi" w:hAnsiTheme="minorHAnsi" w:cstheme="minorHAnsi"/>
        </w:rPr>
        <w:t xml:space="preserve"> </w:t>
      </w:r>
      <w:r w:rsidR="0096618F">
        <w:rPr>
          <w:rFonts w:asciiTheme="minorHAnsi" w:hAnsiTheme="minorHAnsi" w:cstheme="minorHAnsi"/>
        </w:rPr>
        <w:fldChar w:fldCharType="begin"/>
      </w:r>
      <w:r w:rsidR="0096618F">
        <w:rPr>
          <w:rFonts w:asciiTheme="minorHAnsi" w:hAnsiTheme="minorHAnsi" w:cstheme="minorHAnsi"/>
        </w:rPr>
        <w:instrText xml:space="preserve"> REF _Ref508288619 \r \h </w:instrText>
      </w:r>
      <w:r w:rsidR="0096618F">
        <w:rPr>
          <w:rFonts w:asciiTheme="minorHAnsi" w:hAnsiTheme="minorHAnsi" w:cstheme="minorHAnsi"/>
        </w:rPr>
      </w:r>
      <w:r w:rsidR="0096618F">
        <w:rPr>
          <w:rFonts w:asciiTheme="minorHAnsi" w:hAnsiTheme="minorHAnsi" w:cstheme="minorHAnsi"/>
        </w:rPr>
        <w:fldChar w:fldCharType="separate"/>
      </w:r>
      <w:r w:rsidR="004413DC">
        <w:rPr>
          <w:rFonts w:asciiTheme="minorHAnsi" w:hAnsiTheme="minorHAnsi" w:cstheme="minorHAnsi"/>
        </w:rPr>
        <w:t>27</w:t>
      </w:r>
      <w:r w:rsidR="0096618F">
        <w:rPr>
          <w:rFonts w:asciiTheme="minorHAnsi" w:hAnsiTheme="minorHAnsi" w:cstheme="minorHAnsi"/>
        </w:rPr>
        <w:fldChar w:fldCharType="end"/>
      </w:r>
      <w:r w:rsidRPr="00973A47">
        <w:rPr>
          <w:rFonts w:asciiTheme="minorHAnsi" w:hAnsiTheme="minorHAnsi" w:cstheme="minorHAnsi"/>
        </w:rPr>
        <w:t>, if applicable), the Principal Registrar promptly, by letter, facsimile or email, informs the parties to the proceedings of the name, telephone number, facsimile number and email address of the mediator (and any co-mediator).</w:t>
      </w:r>
      <w:bookmarkEnd w:id="4"/>
    </w:p>
    <w:p w:rsidR="00973A47" w:rsidRPr="00973A47" w:rsidRDefault="00973A47" w:rsidP="009557AB">
      <w:pPr>
        <w:jc w:val="both"/>
        <w:rPr>
          <w:rFonts w:asciiTheme="minorHAnsi" w:hAnsiTheme="minorHAnsi" w:cstheme="minorHAnsi"/>
        </w:rPr>
      </w:pPr>
    </w:p>
    <w:p w:rsidR="00973A47" w:rsidRPr="00973A47" w:rsidRDefault="00973A47" w:rsidP="009557AB">
      <w:pPr>
        <w:numPr>
          <w:ilvl w:val="0"/>
          <w:numId w:val="5"/>
        </w:numPr>
        <w:jc w:val="both"/>
        <w:rPr>
          <w:rFonts w:asciiTheme="minorHAnsi" w:hAnsiTheme="minorHAnsi" w:cstheme="minorHAnsi"/>
        </w:rPr>
      </w:pPr>
      <w:r w:rsidRPr="00973A47">
        <w:rPr>
          <w:rFonts w:asciiTheme="minorHAnsi" w:hAnsiTheme="minorHAnsi" w:cstheme="minorHAnsi"/>
        </w:rPr>
        <w:t xml:space="preserve">When the Principal Registrar has dispatched the notifications referred to in paragraph </w:t>
      </w:r>
      <w:r w:rsidR="0096618F">
        <w:rPr>
          <w:rFonts w:asciiTheme="minorHAnsi" w:hAnsiTheme="minorHAnsi" w:cstheme="minorHAnsi"/>
        </w:rPr>
        <w:fldChar w:fldCharType="begin"/>
      </w:r>
      <w:r w:rsidR="0096618F">
        <w:rPr>
          <w:rFonts w:asciiTheme="minorHAnsi" w:hAnsiTheme="minorHAnsi" w:cstheme="minorHAnsi"/>
        </w:rPr>
        <w:instrText xml:space="preserve"> REF _Ref508288667 \r \h </w:instrText>
      </w:r>
      <w:r w:rsidR="0096618F">
        <w:rPr>
          <w:rFonts w:asciiTheme="minorHAnsi" w:hAnsiTheme="minorHAnsi" w:cstheme="minorHAnsi"/>
        </w:rPr>
      </w:r>
      <w:r w:rsidR="0096618F">
        <w:rPr>
          <w:rFonts w:asciiTheme="minorHAnsi" w:hAnsiTheme="minorHAnsi" w:cstheme="minorHAnsi"/>
        </w:rPr>
        <w:fldChar w:fldCharType="separate"/>
      </w:r>
      <w:r w:rsidR="004413DC">
        <w:rPr>
          <w:rFonts w:asciiTheme="minorHAnsi" w:hAnsiTheme="minorHAnsi" w:cstheme="minorHAnsi"/>
        </w:rPr>
        <w:t>29</w:t>
      </w:r>
      <w:r w:rsidR="0096618F">
        <w:rPr>
          <w:rFonts w:asciiTheme="minorHAnsi" w:hAnsiTheme="minorHAnsi" w:cstheme="minorHAnsi"/>
        </w:rPr>
        <w:fldChar w:fldCharType="end"/>
      </w:r>
      <w:r w:rsidRPr="00973A47">
        <w:rPr>
          <w:rFonts w:asciiTheme="minorHAnsi" w:hAnsiTheme="minorHAnsi" w:cstheme="minorHAnsi"/>
        </w:rPr>
        <w:t>, the person nominated by the President or the Chief Executive Officer of the nominating entity as the mediator (and any co-mediator so nominated) is deemed to have been appointed the mediator (and the co-mediator, if applicable) in the proceedings under section 26 of the CPA.</w:t>
      </w:r>
    </w:p>
    <w:p w:rsidR="00973A47" w:rsidRPr="00973A47" w:rsidRDefault="00973A47" w:rsidP="009557AB">
      <w:pPr>
        <w:jc w:val="both"/>
        <w:rPr>
          <w:rFonts w:asciiTheme="minorHAnsi" w:hAnsiTheme="minorHAnsi" w:cstheme="minorHAnsi"/>
        </w:rPr>
      </w:pPr>
    </w:p>
    <w:p w:rsidR="00973A47" w:rsidRPr="00973A47" w:rsidRDefault="00973A47" w:rsidP="009557AB">
      <w:pPr>
        <w:pStyle w:val="Heading1"/>
        <w:jc w:val="both"/>
      </w:pPr>
      <w:r w:rsidRPr="00973A47">
        <w:t>Request for review of appointment of mediator</w:t>
      </w:r>
    </w:p>
    <w:p w:rsidR="00973A47" w:rsidRPr="00DE1F6A" w:rsidRDefault="00973A47" w:rsidP="0096618F">
      <w:pPr>
        <w:pStyle w:val="BodyText3"/>
        <w:numPr>
          <w:ilvl w:val="0"/>
          <w:numId w:val="5"/>
        </w:numPr>
        <w:spacing w:after="120"/>
        <w:jc w:val="both"/>
        <w:rPr>
          <w:rFonts w:asciiTheme="minorHAnsi" w:hAnsiTheme="minorHAnsi" w:cstheme="minorHAnsi"/>
          <w:sz w:val="24"/>
          <w:szCs w:val="24"/>
        </w:rPr>
      </w:pPr>
      <w:r w:rsidRPr="00973A47">
        <w:rPr>
          <w:rFonts w:asciiTheme="minorHAnsi" w:hAnsiTheme="minorHAnsi" w:cstheme="minorHAnsi"/>
          <w:sz w:val="24"/>
          <w:szCs w:val="24"/>
        </w:rPr>
        <w:t xml:space="preserve">A party to the proceedings may request the judicial officer who made the order referring the proceedings to mediation to review the appointment of the mediator (and the co-mediator, if applicable). Such a request should: </w:t>
      </w:r>
    </w:p>
    <w:p w:rsidR="00973A47" w:rsidRPr="00973A47" w:rsidRDefault="00973A47" w:rsidP="009557AB">
      <w:pPr>
        <w:numPr>
          <w:ilvl w:val="0"/>
          <w:numId w:val="23"/>
        </w:numPr>
        <w:spacing w:after="120"/>
        <w:jc w:val="both"/>
        <w:rPr>
          <w:rFonts w:asciiTheme="minorHAnsi" w:hAnsiTheme="minorHAnsi" w:cstheme="minorHAnsi"/>
        </w:rPr>
      </w:pPr>
      <w:r w:rsidRPr="00973A47">
        <w:rPr>
          <w:rFonts w:asciiTheme="minorHAnsi" w:hAnsiTheme="minorHAnsi" w:cstheme="minorHAnsi"/>
        </w:rPr>
        <w:t>be in writing;</w:t>
      </w:r>
    </w:p>
    <w:p w:rsidR="00973A47" w:rsidRPr="00973A47" w:rsidRDefault="00973A47" w:rsidP="009557AB">
      <w:pPr>
        <w:numPr>
          <w:ilvl w:val="0"/>
          <w:numId w:val="23"/>
        </w:numPr>
        <w:spacing w:after="120"/>
        <w:jc w:val="both"/>
        <w:rPr>
          <w:rFonts w:asciiTheme="minorHAnsi" w:hAnsiTheme="minorHAnsi" w:cstheme="minorHAnsi"/>
        </w:rPr>
      </w:pPr>
      <w:r w:rsidRPr="00973A47">
        <w:rPr>
          <w:rFonts w:asciiTheme="minorHAnsi" w:hAnsiTheme="minorHAnsi" w:cstheme="minorHAnsi"/>
        </w:rPr>
        <w:t xml:space="preserve">be received by the Principal Registrar within 10 days of dispatch of notifications under paragraph </w:t>
      </w:r>
      <w:r w:rsidR="0096618F">
        <w:rPr>
          <w:rFonts w:asciiTheme="minorHAnsi" w:hAnsiTheme="minorHAnsi" w:cstheme="minorHAnsi"/>
        </w:rPr>
        <w:fldChar w:fldCharType="begin"/>
      </w:r>
      <w:r w:rsidR="0096618F">
        <w:rPr>
          <w:rFonts w:asciiTheme="minorHAnsi" w:hAnsiTheme="minorHAnsi" w:cstheme="minorHAnsi"/>
        </w:rPr>
        <w:instrText xml:space="preserve"> REF _Ref508288667 \r \h </w:instrText>
      </w:r>
      <w:r w:rsidR="0096618F">
        <w:rPr>
          <w:rFonts w:asciiTheme="minorHAnsi" w:hAnsiTheme="minorHAnsi" w:cstheme="minorHAnsi"/>
        </w:rPr>
      </w:r>
      <w:r w:rsidR="0096618F">
        <w:rPr>
          <w:rFonts w:asciiTheme="minorHAnsi" w:hAnsiTheme="minorHAnsi" w:cstheme="minorHAnsi"/>
        </w:rPr>
        <w:fldChar w:fldCharType="separate"/>
      </w:r>
      <w:r w:rsidR="004413DC">
        <w:rPr>
          <w:rFonts w:asciiTheme="minorHAnsi" w:hAnsiTheme="minorHAnsi" w:cstheme="minorHAnsi"/>
        </w:rPr>
        <w:t>29</w:t>
      </w:r>
      <w:r w:rsidR="0096618F">
        <w:rPr>
          <w:rFonts w:asciiTheme="minorHAnsi" w:hAnsiTheme="minorHAnsi" w:cstheme="minorHAnsi"/>
        </w:rPr>
        <w:fldChar w:fldCharType="end"/>
      </w:r>
      <w:r w:rsidRPr="00973A47">
        <w:rPr>
          <w:rFonts w:asciiTheme="minorHAnsi" w:hAnsiTheme="minorHAnsi" w:cstheme="minorHAnsi"/>
        </w:rPr>
        <w:t>;</w:t>
      </w:r>
    </w:p>
    <w:p w:rsidR="00973A47" w:rsidRPr="00973A47" w:rsidRDefault="00973A47" w:rsidP="009557AB">
      <w:pPr>
        <w:numPr>
          <w:ilvl w:val="0"/>
          <w:numId w:val="23"/>
        </w:numPr>
        <w:spacing w:after="120"/>
        <w:jc w:val="both"/>
        <w:rPr>
          <w:rFonts w:asciiTheme="minorHAnsi" w:hAnsiTheme="minorHAnsi" w:cstheme="minorHAnsi"/>
        </w:rPr>
      </w:pPr>
      <w:r w:rsidRPr="00973A47">
        <w:rPr>
          <w:rFonts w:asciiTheme="minorHAnsi" w:hAnsiTheme="minorHAnsi" w:cstheme="minorHAnsi"/>
        </w:rPr>
        <w:lastRenderedPageBreak/>
        <w:t>state with specificity the objections that the party has to the mediator that has been appointed; and</w:t>
      </w:r>
    </w:p>
    <w:p w:rsidR="00973A47" w:rsidRPr="00973A47" w:rsidRDefault="00973A47" w:rsidP="009557AB">
      <w:pPr>
        <w:numPr>
          <w:ilvl w:val="0"/>
          <w:numId w:val="23"/>
        </w:numPr>
        <w:jc w:val="both"/>
        <w:rPr>
          <w:rFonts w:asciiTheme="minorHAnsi" w:hAnsiTheme="minorHAnsi" w:cstheme="minorHAnsi"/>
        </w:rPr>
      </w:pPr>
      <w:proofErr w:type="gramStart"/>
      <w:r w:rsidRPr="00973A47">
        <w:rPr>
          <w:rFonts w:asciiTheme="minorHAnsi" w:hAnsiTheme="minorHAnsi" w:cstheme="minorHAnsi"/>
        </w:rPr>
        <w:t>be</w:t>
      </w:r>
      <w:proofErr w:type="gramEnd"/>
      <w:r w:rsidRPr="00973A47">
        <w:rPr>
          <w:rFonts w:asciiTheme="minorHAnsi" w:hAnsiTheme="minorHAnsi" w:cstheme="minorHAnsi"/>
        </w:rPr>
        <w:t xml:space="preserve"> served by the party making the request on the other parties to the proceedings.</w:t>
      </w:r>
    </w:p>
    <w:p w:rsidR="00973A47" w:rsidRPr="00973A47" w:rsidRDefault="00973A47" w:rsidP="009557AB">
      <w:pPr>
        <w:jc w:val="both"/>
        <w:rPr>
          <w:rFonts w:asciiTheme="minorHAnsi" w:hAnsiTheme="minorHAnsi" w:cstheme="minorHAnsi"/>
        </w:rPr>
      </w:pPr>
    </w:p>
    <w:p w:rsidR="00973A47" w:rsidRPr="00973A47" w:rsidRDefault="00973A47" w:rsidP="009557AB">
      <w:pPr>
        <w:pStyle w:val="Heading1"/>
        <w:jc w:val="both"/>
      </w:pPr>
      <w:r w:rsidRPr="00973A47">
        <w:t>Evaluation of referral of proceedings to mediation and entry of any consent orders</w:t>
      </w:r>
    </w:p>
    <w:p w:rsidR="00973A47" w:rsidRPr="00DE1F6A" w:rsidRDefault="00973A47" w:rsidP="0096618F">
      <w:pPr>
        <w:numPr>
          <w:ilvl w:val="0"/>
          <w:numId w:val="5"/>
        </w:numPr>
        <w:spacing w:after="120"/>
        <w:jc w:val="both"/>
        <w:rPr>
          <w:rFonts w:asciiTheme="minorHAnsi" w:hAnsiTheme="minorHAnsi" w:cstheme="minorHAnsi"/>
        </w:rPr>
      </w:pPr>
      <w:r w:rsidRPr="00973A47">
        <w:rPr>
          <w:rFonts w:asciiTheme="minorHAnsi" w:hAnsiTheme="minorHAnsi" w:cstheme="minorHAnsi"/>
        </w:rPr>
        <w:t>Within 14 days after the conclusion of the mediation, the plaintiff in writing informs the Principal Registrar of the following (“</w:t>
      </w:r>
      <w:r w:rsidRPr="00973A47">
        <w:rPr>
          <w:rFonts w:asciiTheme="minorHAnsi" w:hAnsiTheme="minorHAnsi" w:cstheme="minorHAnsi"/>
          <w:b/>
          <w:bCs/>
        </w:rPr>
        <w:t>Joint Protocol Evaluation Information</w:t>
      </w:r>
      <w:r w:rsidRPr="00973A47">
        <w:rPr>
          <w:rFonts w:asciiTheme="minorHAnsi" w:hAnsiTheme="minorHAnsi" w:cstheme="minorHAnsi"/>
        </w:rPr>
        <w:t>”):</w:t>
      </w:r>
    </w:p>
    <w:p w:rsidR="00973A47" w:rsidRPr="00973A47" w:rsidRDefault="00973A47" w:rsidP="009557AB">
      <w:pPr>
        <w:numPr>
          <w:ilvl w:val="0"/>
          <w:numId w:val="24"/>
        </w:numPr>
        <w:tabs>
          <w:tab w:val="clear" w:pos="1080"/>
          <w:tab w:val="num" w:pos="927"/>
        </w:tabs>
        <w:spacing w:after="120"/>
        <w:ind w:left="927"/>
        <w:jc w:val="both"/>
        <w:rPr>
          <w:rFonts w:asciiTheme="minorHAnsi" w:hAnsiTheme="minorHAnsi" w:cstheme="minorHAnsi"/>
        </w:rPr>
      </w:pPr>
      <w:r w:rsidRPr="00973A47">
        <w:rPr>
          <w:rFonts w:asciiTheme="minorHAnsi" w:hAnsiTheme="minorHAnsi" w:cstheme="minorHAnsi"/>
        </w:rPr>
        <w:t>the name and file number of the proceedings;</w:t>
      </w:r>
    </w:p>
    <w:p w:rsidR="00973A47" w:rsidRPr="00973A47" w:rsidRDefault="00973A47" w:rsidP="009557AB">
      <w:pPr>
        <w:numPr>
          <w:ilvl w:val="0"/>
          <w:numId w:val="24"/>
        </w:numPr>
        <w:spacing w:after="120"/>
        <w:ind w:left="927"/>
        <w:jc w:val="both"/>
        <w:rPr>
          <w:rFonts w:asciiTheme="minorHAnsi" w:hAnsiTheme="minorHAnsi" w:cstheme="minorHAnsi"/>
        </w:rPr>
      </w:pPr>
      <w:r w:rsidRPr="00973A47">
        <w:rPr>
          <w:rFonts w:asciiTheme="minorHAnsi" w:hAnsiTheme="minorHAnsi" w:cstheme="minorHAnsi"/>
        </w:rPr>
        <w:t>the name of the mediator;</w:t>
      </w:r>
    </w:p>
    <w:p w:rsidR="00973A47" w:rsidRPr="00973A47" w:rsidRDefault="00973A47" w:rsidP="009557AB">
      <w:pPr>
        <w:numPr>
          <w:ilvl w:val="0"/>
          <w:numId w:val="24"/>
        </w:numPr>
        <w:spacing w:after="120"/>
        <w:ind w:left="927"/>
        <w:jc w:val="both"/>
        <w:rPr>
          <w:rFonts w:asciiTheme="minorHAnsi" w:hAnsiTheme="minorHAnsi" w:cstheme="minorHAnsi"/>
        </w:rPr>
      </w:pPr>
      <w:r w:rsidRPr="00973A47">
        <w:rPr>
          <w:rFonts w:asciiTheme="minorHAnsi" w:hAnsiTheme="minorHAnsi" w:cstheme="minorHAnsi"/>
        </w:rPr>
        <w:t>the date(s) of the mediation;</w:t>
      </w:r>
    </w:p>
    <w:p w:rsidR="00973A47" w:rsidRPr="00973A47" w:rsidRDefault="00973A47" w:rsidP="009557AB">
      <w:pPr>
        <w:numPr>
          <w:ilvl w:val="0"/>
          <w:numId w:val="24"/>
        </w:numPr>
        <w:spacing w:after="120"/>
        <w:ind w:left="927"/>
        <w:jc w:val="both"/>
        <w:rPr>
          <w:rFonts w:asciiTheme="minorHAnsi" w:hAnsiTheme="minorHAnsi" w:cstheme="minorHAnsi"/>
        </w:rPr>
      </w:pPr>
      <w:r w:rsidRPr="00973A47">
        <w:rPr>
          <w:rFonts w:asciiTheme="minorHAnsi" w:hAnsiTheme="minorHAnsi" w:cstheme="minorHAnsi"/>
        </w:rPr>
        <w:t>the number of hours occupied by the mediation;</w:t>
      </w:r>
    </w:p>
    <w:p w:rsidR="00973A47" w:rsidRPr="00973A47" w:rsidRDefault="00973A47" w:rsidP="009557AB">
      <w:pPr>
        <w:numPr>
          <w:ilvl w:val="0"/>
          <w:numId w:val="24"/>
        </w:numPr>
        <w:spacing w:after="120"/>
        <w:ind w:left="927"/>
        <w:jc w:val="both"/>
        <w:rPr>
          <w:rFonts w:asciiTheme="minorHAnsi" w:hAnsiTheme="minorHAnsi" w:cstheme="minorHAnsi"/>
        </w:rPr>
      </w:pPr>
      <w:r w:rsidRPr="00973A47">
        <w:rPr>
          <w:rFonts w:asciiTheme="minorHAnsi" w:hAnsiTheme="minorHAnsi" w:cstheme="minorHAnsi"/>
        </w:rPr>
        <w:t>whether the parties were represented at the mediation by solicitors;</w:t>
      </w:r>
    </w:p>
    <w:p w:rsidR="00973A47" w:rsidRPr="00973A47" w:rsidRDefault="00973A47" w:rsidP="009557AB">
      <w:pPr>
        <w:numPr>
          <w:ilvl w:val="0"/>
          <w:numId w:val="24"/>
        </w:numPr>
        <w:spacing w:after="120"/>
        <w:ind w:left="927"/>
        <w:jc w:val="both"/>
        <w:rPr>
          <w:rFonts w:asciiTheme="minorHAnsi" w:hAnsiTheme="minorHAnsi" w:cstheme="minorHAnsi"/>
        </w:rPr>
      </w:pPr>
      <w:r w:rsidRPr="00973A47">
        <w:rPr>
          <w:rFonts w:asciiTheme="minorHAnsi" w:hAnsiTheme="minorHAnsi" w:cstheme="minorHAnsi"/>
        </w:rPr>
        <w:t>whether the parties were represented at the mediation by counsel;</w:t>
      </w:r>
    </w:p>
    <w:p w:rsidR="00973A47" w:rsidRPr="00973A47" w:rsidRDefault="00973A47" w:rsidP="009557AB">
      <w:pPr>
        <w:pStyle w:val="BodyText2"/>
        <w:numPr>
          <w:ilvl w:val="0"/>
          <w:numId w:val="24"/>
        </w:numPr>
        <w:spacing w:after="120"/>
        <w:ind w:left="927"/>
        <w:jc w:val="both"/>
        <w:rPr>
          <w:rFonts w:asciiTheme="minorHAnsi" w:hAnsiTheme="minorHAnsi" w:cstheme="minorHAnsi"/>
          <w:sz w:val="24"/>
          <w:szCs w:val="24"/>
        </w:rPr>
      </w:pPr>
      <w:r w:rsidRPr="00973A47">
        <w:rPr>
          <w:rFonts w:asciiTheme="minorHAnsi" w:hAnsiTheme="minorHAnsi" w:cstheme="minorHAnsi"/>
          <w:sz w:val="24"/>
          <w:szCs w:val="24"/>
        </w:rPr>
        <w:t>whether the parties agreed to settle, or partly settle, the proceedings or whether no resolution of any issues was achieved;</w:t>
      </w:r>
    </w:p>
    <w:p w:rsidR="00973A47" w:rsidRPr="00973A47" w:rsidRDefault="00973A47" w:rsidP="009557AB">
      <w:pPr>
        <w:numPr>
          <w:ilvl w:val="0"/>
          <w:numId w:val="24"/>
        </w:numPr>
        <w:spacing w:after="120"/>
        <w:ind w:left="927"/>
        <w:jc w:val="both"/>
        <w:rPr>
          <w:rFonts w:asciiTheme="minorHAnsi" w:hAnsiTheme="minorHAnsi" w:cstheme="minorHAnsi"/>
        </w:rPr>
      </w:pPr>
      <w:r w:rsidRPr="00973A47">
        <w:rPr>
          <w:rFonts w:asciiTheme="minorHAnsi" w:hAnsiTheme="minorHAnsi" w:cstheme="minorHAnsi"/>
        </w:rPr>
        <w:t>to the extent that any terms of settlement are not confidential to the parties, the terms of settlement; and</w:t>
      </w:r>
    </w:p>
    <w:p w:rsidR="00973A47" w:rsidRPr="00973A47" w:rsidRDefault="00973A47" w:rsidP="009557AB">
      <w:pPr>
        <w:pStyle w:val="BodyText3"/>
        <w:numPr>
          <w:ilvl w:val="0"/>
          <w:numId w:val="24"/>
        </w:numPr>
        <w:ind w:left="927"/>
        <w:jc w:val="both"/>
        <w:rPr>
          <w:rFonts w:asciiTheme="minorHAnsi" w:hAnsiTheme="minorHAnsi" w:cstheme="minorHAnsi"/>
          <w:sz w:val="24"/>
          <w:szCs w:val="24"/>
        </w:rPr>
      </w:pPr>
      <w:proofErr w:type="gramStart"/>
      <w:r w:rsidRPr="00973A47">
        <w:rPr>
          <w:rFonts w:asciiTheme="minorHAnsi" w:hAnsiTheme="minorHAnsi" w:cstheme="minorHAnsi"/>
          <w:sz w:val="24"/>
          <w:szCs w:val="24"/>
        </w:rPr>
        <w:t>if</w:t>
      </w:r>
      <w:proofErr w:type="gramEnd"/>
      <w:r w:rsidRPr="00973A47">
        <w:rPr>
          <w:rFonts w:asciiTheme="minorHAnsi" w:hAnsiTheme="minorHAnsi" w:cstheme="minorHAnsi"/>
          <w:sz w:val="24"/>
          <w:szCs w:val="24"/>
        </w:rPr>
        <w:t xml:space="preserve"> the parties agreed to the Court making orders, a signed consent order in a form suitable for entry by the Registry.</w:t>
      </w:r>
    </w:p>
    <w:p w:rsidR="00973A47" w:rsidRPr="00973A47" w:rsidRDefault="00973A47" w:rsidP="009557AB">
      <w:pPr>
        <w:jc w:val="both"/>
        <w:rPr>
          <w:rFonts w:asciiTheme="minorHAnsi" w:hAnsiTheme="minorHAnsi" w:cstheme="minorHAnsi"/>
        </w:rPr>
      </w:pPr>
    </w:p>
    <w:p w:rsidR="00973A47" w:rsidRPr="00973A47" w:rsidRDefault="00973A47" w:rsidP="009557AB">
      <w:pPr>
        <w:numPr>
          <w:ilvl w:val="0"/>
          <w:numId w:val="5"/>
        </w:numPr>
        <w:jc w:val="both"/>
        <w:rPr>
          <w:rFonts w:asciiTheme="minorHAnsi" w:hAnsiTheme="minorHAnsi" w:cstheme="minorHAnsi"/>
        </w:rPr>
      </w:pPr>
      <w:r w:rsidRPr="00973A47">
        <w:rPr>
          <w:rFonts w:asciiTheme="minorHAnsi" w:hAnsiTheme="minorHAnsi" w:cstheme="minorHAnsi"/>
        </w:rPr>
        <w:t>On receipt of the Joint Protocol Evaluation Information, the Principal Registrar will forward a copy of that information to the relevant nominating entity.</w:t>
      </w:r>
    </w:p>
    <w:p w:rsidR="00973A47" w:rsidRPr="00973A47" w:rsidRDefault="00973A47" w:rsidP="009557AB">
      <w:pPr>
        <w:jc w:val="both"/>
        <w:rPr>
          <w:rFonts w:asciiTheme="minorHAnsi" w:hAnsiTheme="minorHAnsi" w:cstheme="minorHAnsi"/>
        </w:rPr>
      </w:pPr>
    </w:p>
    <w:p w:rsidR="00973A47" w:rsidRPr="00973A47" w:rsidRDefault="00973A47" w:rsidP="009557AB">
      <w:pPr>
        <w:jc w:val="both"/>
        <w:rPr>
          <w:rFonts w:asciiTheme="minorHAnsi" w:hAnsiTheme="minorHAnsi" w:cstheme="minorHAnsi"/>
        </w:rPr>
      </w:pPr>
    </w:p>
    <w:p w:rsidR="00973A47" w:rsidRPr="00973A47" w:rsidRDefault="00973A47" w:rsidP="009557AB">
      <w:pPr>
        <w:jc w:val="both"/>
        <w:rPr>
          <w:rFonts w:asciiTheme="minorHAnsi" w:hAnsiTheme="minorHAnsi" w:cstheme="minorHAnsi"/>
        </w:rPr>
      </w:pPr>
    </w:p>
    <w:p w:rsidR="00973A47" w:rsidRPr="00973A47" w:rsidRDefault="00973A47" w:rsidP="009557AB">
      <w:pPr>
        <w:jc w:val="both"/>
        <w:rPr>
          <w:rFonts w:asciiTheme="minorHAnsi" w:hAnsiTheme="minorHAnsi" w:cstheme="minorHAnsi"/>
        </w:rPr>
      </w:pPr>
    </w:p>
    <w:p w:rsidR="00973A47" w:rsidRPr="00973A47" w:rsidRDefault="00973A47" w:rsidP="009557AB">
      <w:pPr>
        <w:jc w:val="both"/>
        <w:rPr>
          <w:rFonts w:asciiTheme="minorHAnsi" w:hAnsiTheme="minorHAnsi" w:cstheme="minorHAnsi"/>
        </w:rPr>
      </w:pPr>
    </w:p>
    <w:p w:rsidR="00973A47" w:rsidRPr="00DE1F6A" w:rsidRDefault="00DE1F6A" w:rsidP="009557AB">
      <w:pPr>
        <w:jc w:val="both"/>
        <w:rPr>
          <w:rFonts w:asciiTheme="minorHAnsi" w:hAnsiTheme="minorHAnsi" w:cstheme="minorHAnsi"/>
          <w:b/>
        </w:rPr>
      </w:pPr>
      <w:r w:rsidRPr="00DE1F6A">
        <w:rPr>
          <w:rFonts w:asciiTheme="minorHAnsi" w:hAnsiTheme="minorHAnsi" w:cstheme="minorHAnsi"/>
          <w:b/>
        </w:rPr>
        <w:t xml:space="preserve">T F BATHURST </w:t>
      </w:r>
      <w:r w:rsidR="00973A47" w:rsidRPr="00DE1F6A">
        <w:rPr>
          <w:rFonts w:asciiTheme="minorHAnsi" w:hAnsiTheme="minorHAnsi" w:cstheme="minorHAnsi"/>
          <w:b/>
        </w:rPr>
        <w:t>AC</w:t>
      </w:r>
    </w:p>
    <w:p w:rsidR="00973A47" w:rsidRPr="00973A47" w:rsidRDefault="00973A47" w:rsidP="009557AB">
      <w:pPr>
        <w:spacing w:line="360" w:lineRule="auto"/>
        <w:jc w:val="both"/>
        <w:rPr>
          <w:rFonts w:asciiTheme="minorHAnsi" w:hAnsiTheme="minorHAnsi" w:cstheme="minorHAnsi"/>
        </w:rPr>
      </w:pPr>
      <w:r w:rsidRPr="00973A47">
        <w:rPr>
          <w:rFonts w:asciiTheme="minorHAnsi" w:hAnsiTheme="minorHAnsi" w:cstheme="minorHAnsi"/>
        </w:rPr>
        <w:t>Chief Justice of New South Wales</w:t>
      </w:r>
    </w:p>
    <w:p w:rsidR="00973A47" w:rsidRPr="00973A47" w:rsidRDefault="00DE1F6A" w:rsidP="009557AB">
      <w:pPr>
        <w:jc w:val="both"/>
        <w:rPr>
          <w:rFonts w:asciiTheme="minorHAnsi" w:hAnsiTheme="minorHAnsi" w:cstheme="minorHAnsi"/>
        </w:rPr>
      </w:pPr>
      <w:r>
        <w:rPr>
          <w:rFonts w:asciiTheme="minorHAnsi" w:hAnsiTheme="minorHAnsi" w:cstheme="minorHAnsi"/>
        </w:rPr>
        <w:t>9 March 2018</w:t>
      </w:r>
    </w:p>
    <w:p w:rsidR="00973A47" w:rsidRDefault="00973A47">
      <w:pPr>
        <w:rPr>
          <w:rFonts w:asciiTheme="minorHAnsi" w:hAnsiTheme="minorHAnsi" w:cstheme="minorHAnsi"/>
        </w:rPr>
      </w:pPr>
    </w:p>
    <w:p w:rsidR="00DE1F6A" w:rsidRPr="00973A47" w:rsidRDefault="00DE1F6A">
      <w:pPr>
        <w:rPr>
          <w:rFonts w:asciiTheme="minorHAnsi" w:hAnsiTheme="minorHAnsi" w:cstheme="minorHAnsi"/>
        </w:rPr>
      </w:pPr>
    </w:p>
    <w:p w:rsidR="00973A47" w:rsidRPr="00973A47" w:rsidRDefault="00973A47">
      <w:pPr>
        <w:pStyle w:val="Heading2"/>
        <w:rPr>
          <w:rFonts w:asciiTheme="minorHAnsi" w:hAnsiTheme="minorHAnsi" w:cstheme="minorHAnsi"/>
        </w:rPr>
      </w:pPr>
      <w:r w:rsidRPr="00973A47">
        <w:rPr>
          <w:rFonts w:asciiTheme="minorHAnsi" w:hAnsiTheme="minorHAnsi" w:cstheme="minorHAnsi"/>
        </w:rPr>
        <w:t>Related information</w:t>
      </w:r>
    </w:p>
    <w:p w:rsidR="00973A47" w:rsidRPr="00973A47" w:rsidRDefault="00973A47">
      <w:pPr>
        <w:rPr>
          <w:rFonts w:asciiTheme="minorHAnsi" w:hAnsiTheme="minorHAnsi" w:cstheme="minorHAnsi"/>
        </w:rPr>
      </w:pPr>
      <w:r w:rsidRPr="00973A47">
        <w:rPr>
          <w:rFonts w:asciiTheme="minorHAnsi" w:hAnsiTheme="minorHAnsi" w:cstheme="minorHAnsi"/>
        </w:rPr>
        <w:t>See also:</w:t>
      </w:r>
    </w:p>
    <w:p w:rsidR="00973A47" w:rsidRPr="00973A47" w:rsidRDefault="00973A47">
      <w:pPr>
        <w:rPr>
          <w:rFonts w:asciiTheme="minorHAnsi" w:hAnsiTheme="minorHAnsi" w:cstheme="minorHAnsi"/>
        </w:rPr>
      </w:pPr>
      <w:r w:rsidRPr="00973A47">
        <w:rPr>
          <w:rFonts w:asciiTheme="minorHAnsi" w:hAnsiTheme="minorHAnsi" w:cstheme="minorHAnsi"/>
        </w:rPr>
        <w:t>Practice Note SC Gen</w:t>
      </w:r>
      <w:r w:rsidR="00DE1F6A">
        <w:rPr>
          <w:rFonts w:asciiTheme="minorHAnsi" w:hAnsiTheme="minorHAnsi" w:cstheme="minorHAnsi"/>
        </w:rPr>
        <w:t xml:space="preserve"> </w:t>
      </w:r>
      <w:r w:rsidRPr="00973A47">
        <w:rPr>
          <w:rFonts w:asciiTheme="minorHAnsi" w:hAnsiTheme="minorHAnsi" w:cstheme="minorHAnsi"/>
        </w:rPr>
        <w:t>1 Supreme Court – Application of Practice Notes</w:t>
      </w:r>
    </w:p>
    <w:p w:rsidR="00973A47" w:rsidRPr="00973A47" w:rsidRDefault="00973A47">
      <w:pPr>
        <w:pStyle w:val="Heading3"/>
        <w:rPr>
          <w:rFonts w:asciiTheme="minorHAnsi" w:hAnsiTheme="minorHAnsi" w:cstheme="minorHAnsi"/>
        </w:rPr>
      </w:pPr>
      <w:r w:rsidRPr="00973A47">
        <w:rPr>
          <w:rFonts w:asciiTheme="minorHAnsi" w:hAnsiTheme="minorHAnsi" w:cstheme="minorHAnsi"/>
        </w:rPr>
        <w:t>Civil Procedure Act 2005</w:t>
      </w:r>
    </w:p>
    <w:p w:rsidR="00973A47" w:rsidRPr="00973A47" w:rsidRDefault="00973A47">
      <w:pPr>
        <w:pStyle w:val="Heading3"/>
        <w:rPr>
          <w:rFonts w:asciiTheme="minorHAnsi" w:hAnsiTheme="minorHAnsi" w:cstheme="minorHAnsi"/>
        </w:rPr>
      </w:pPr>
      <w:r w:rsidRPr="00973A47">
        <w:rPr>
          <w:rFonts w:asciiTheme="minorHAnsi" w:hAnsiTheme="minorHAnsi" w:cstheme="minorHAnsi"/>
        </w:rPr>
        <w:t>Uniform Civil Procedure Rules 2005</w:t>
      </w:r>
    </w:p>
    <w:p w:rsidR="00973A47" w:rsidRPr="00973A47" w:rsidRDefault="00973A47">
      <w:pPr>
        <w:rPr>
          <w:rFonts w:asciiTheme="minorHAnsi" w:hAnsiTheme="minorHAnsi" w:cstheme="minorHAnsi"/>
        </w:rPr>
      </w:pPr>
    </w:p>
    <w:p w:rsidR="00973A47" w:rsidRPr="00973A47" w:rsidRDefault="00973A47">
      <w:pPr>
        <w:pStyle w:val="Heading2"/>
        <w:rPr>
          <w:rFonts w:asciiTheme="minorHAnsi" w:hAnsiTheme="minorHAnsi" w:cstheme="minorHAnsi"/>
        </w:rPr>
      </w:pPr>
      <w:r w:rsidRPr="00973A47">
        <w:rPr>
          <w:rFonts w:asciiTheme="minorHAnsi" w:hAnsiTheme="minorHAnsi" w:cstheme="minorHAnsi"/>
        </w:rPr>
        <w:t>Amendment history</w:t>
      </w:r>
    </w:p>
    <w:p w:rsidR="00DE1F6A" w:rsidRDefault="00DE1F6A" w:rsidP="009557AB">
      <w:pPr>
        <w:jc w:val="both"/>
        <w:rPr>
          <w:rFonts w:asciiTheme="minorHAnsi" w:hAnsiTheme="minorHAnsi" w:cstheme="minorHAnsi"/>
        </w:rPr>
      </w:pPr>
      <w:r>
        <w:rPr>
          <w:rFonts w:asciiTheme="minorHAnsi" w:hAnsiTheme="minorHAnsi" w:cstheme="minorHAnsi"/>
        </w:rPr>
        <w:t>This Practice Note replaces the previous version of SC Gen 6 that was issued on 10 March 2010.</w:t>
      </w:r>
    </w:p>
    <w:p w:rsidR="00DE1F6A" w:rsidRDefault="00DE1F6A" w:rsidP="009557AB">
      <w:pPr>
        <w:jc w:val="both"/>
        <w:rPr>
          <w:rFonts w:asciiTheme="minorHAnsi" w:hAnsiTheme="minorHAnsi" w:cstheme="minorHAnsi"/>
        </w:rPr>
      </w:pPr>
    </w:p>
    <w:p w:rsidR="00973A47" w:rsidRPr="00973A47" w:rsidRDefault="00973A47" w:rsidP="009557AB">
      <w:pPr>
        <w:jc w:val="both"/>
        <w:rPr>
          <w:rFonts w:asciiTheme="minorHAnsi" w:hAnsiTheme="minorHAnsi" w:cstheme="minorHAnsi"/>
        </w:rPr>
      </w:pPr>
      <w:r w:rsidRPr="00973A47">
        <w:rPr>
          <w:rFonts w:asciiTheme="minorHAnsi" w:hAnsiTheme="minorHAnsi" w:cstheme="minorHAnsi"/>
        </w:rPr>
        <w:t>Issued on 10 March 2010 and commenced on 15 March 2010: This Practice Note replace</w:t>
      </w:r>
      <w:r w:rsidR="00DE1F6A">
        <w:rPr>
          <w:rFonts w:asciiTheme="minorHAnsi" w:hAnsiTheme="minorHAnsi" w:cstheme="minorHAnsi"/>
        </w:rPr>
        <w:t>d</w:t>
      </w:r>
      <w:r w:rsidRPr="00973A47">
        <w:rPr>
          <w:rFonts w:asciiTheme="minorHAnsi" w:hAnsiTheme="minorHAnsi" w:cstheme="minorHAnsi"/>
        </w:rPr>
        <w:t xml:space="preserve"> the previous version of Practice Note SC Gen 6 issued on 17 August 2005.</w:t>
      </w:r>
    </w:p>
    <w:p w:rsidR="00973A47" w:rsidRPr="00973A47" w:rsidRDefault="00973A47" w:rsidP="009557AB">
      <w:pPr>
        <w:jc w:val="both"/>
        <w:rPr>
          <w:rFonts w:asciiTheme="minorHAnsi" w:hAnsiTheme="minorHAnsi" w:cstheme="minorHAnsi"/>
        </w:rPr>
      </w:pPr>
    </w:p>
    <w:p w:rsidR="00973A47" w:rsidRPr="00973A47" w:rsidRDefault="00973A47" w:rsidP="009557AB">
      <w:pPr>
        <w:jc w:val="both"/>
        <w:rPr>
          <w:rFonts w:asciiTheme="minorHAnsi" w:hAnsiTheme="minorHAnsi" w:cstheme="minorHAnsi"/>
        </w:rPr>
      </w:pPr>
      <w:r w:rsidRPr="00973A47">
        <w:rPr>
          <w:rFonts w:asciiTheme="minorHAnsi" w:hAnsiTheme="minorHAnsi" w:cstheme="minorHAnsi"/>
        </w:rPr>
        <w:t>17 August 2005: Practice Note SC Gen 6 replace</w:t>
      </w:r>
      <w:r w:rsidR="00E56C57">
        <w:rPr>
          <w:rFonts w:asciiTheme="minorHAnsi" w:hAnsiTheme="minorHAnsi" w:cstheme="minorHAnsi"/>
        </w:rPr>
        <w:t>d Former Practice Note No. 125.</w:t>
      </w:r>
    </w:p>
    <w:sectPr w:rsidR="00973A47" w:rsidRPr="00973A47" w:rsidSect="00B05403">
      <w:headerReference w:type="default" r:id="rId9"/>
      <w:headerReference w:type="first" r:id="rId10"/>
      <w:pgSz w:w="11906" w:h="16838" w:code="9"/>
      <w:pgMar w:top="1134" w:right="1418" w:bottom="1134"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18F" w:rsidRDefault="0096618F" w:rsidP="00973A47">
      <w:r>
        <w:separator/>
      </w:r>
    </w:p>
  </w:endnote>
  <w:endnote w:type="continuationSeparator" w:id="0">
    <w:p w:rsidR="0096618F" w:rsidRDefault="0096618F" w:rsidP="00973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18F" w:rsidRDefault="0096618F" w:rsidP="00973A47">
      <w:r>
        <w:separator/>
      </w:r>
    </w:p>
  </w:footnote>
  <w:footnote w:type="continuationSeparator" w:id="0">
    <w:p w:rsidR="0096618F" w:rsidRDefault="0096618F" w:rsidP="00973A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18F" w:rsidRPr="009557AB" w:rsidRDefault="0096618F" w:rsidP="0096618F">
    <w:pPr>
      <w:pStyle w:val="Header"/>
      <w:tabs>
        <w:tab w:val="clear" w:pos="4513"/>
        <w:tab w:val="clear" w:pos="9026"/>
        <w:tab w:val="right" w:pos="9063"/>
      </w:tabs>
      <w:rPr>
        <w:rFonts w:asciiTheme="minorHAnsi" w:hAnsiTheme="minorHAnsi" w:cstheme="minorHAnsi"/>
        <w:sz w:val="20"/>
      </w:rPr>
    </w:pPr>
    <w:r>
      <w:rPr>
        <w:rFonts w:asciiTheme="minorHAnsi" w:hAnsiTheme="minorHAnsi" w:cstheme="minorHAnsi"/>
        <w:sz w:val="20"/>
      </w:rPr>
      <w:t>SC Gen 6 - Mediation</w:t>
    </w:r>
    <w:r w:rsidRPr="009557AB">
      <w:rPr>
        <w:rFonts w:asciiTheme="minorHAnsi" w:hAnsiTheme="minorHAnsi" w:cstheme="minorHAnsi"/>
        <w:sz w:val="20"/>
      </w:rPr>
      <w:tab/>
      <w:t xml:space="preserve">Page </w:t>
    </w:r>
    <w:r w:rsidRPr="009557AB">
      <w:rPr>
        <w:rFonts w:asciiTheme="minorHAnsi" w:hAnsiTheme="minorHAnsi" w:cstheme="minorHAnsi"/>
        <w:sz w:val="20"/>
      </w:rPr>
      <w:fldChar w:fldCharType="begin"/>
    </w:r>
    <w:r w:rsidRPr="009557AB">
      <w:rPr>
        <w:rFonts w:asciiTheme="minorHAnsi" w:hAnsiTheme="minorHAnsi" w:cstheme="minorHAnsi"/>
        <w:sz w:val="20"/>
      </w:rPr>
      <w:instrText xml:space="preserve"> PAGE </w:instrText>
    </w:r>
    <w:r w:rsidRPr="009557AB">
      <w:rPr>
        <w:rFonts w:asciiTheme="minorHAnsi" w:hAnsiTheme="minorHAnsi" w:cstheme="minorHAnsi"/>
        <w:sz w:val="20"/>
      </w:rPr>
      <w:fldChar w:fldCharType="separate"/>
    </w:r>
    <w:r w:rsidR="004413DC">
      <w:rPr>
        <w:rFonts w:asciiTheme="minorHAnsi" w:hAnsiTheme="minorHAnsi" w:cstheme="minorHAnsi"/>
        <w:noProof/>
        <w:sz w:val="20"/>
      </w:rPr>
      <w:t>4</w:t>
    </w:r>
    <w:r w:rsidRPr="009557AB">
      <w:rPr>
        <w:rFonts w:asciiTheme="minorHAnsi" w:hAnsiTheme="minorHAnsi" w:cstheme="minorHAnsi"/>
        <w:sz w:val="20"/>
      </w:rPr>
      <w:fldChar w:fldCharType="end"/>
    </w:r>
    <w:r w:rsidRPr="009557AB">
      <w:rPr>
        <w:rFonts w:asciiTheme="minorHAnsi" w:hAnsiTheme="minorHAnsi" w:cstheme="minorHAnsi"/>
        <w:sz w:val="20"/>
      </w:rPr>
      <w:t xml:space="preserve"> of </w:t>
    </w:r>
    <w:r w:rsidRPr="009557AB">
      <w:rPr>
        <w:rFonts w:asciiTheme="minorHAnsi" w:hAnsiTheme="minorHAnsi" w:cstheme="minorHAnsi"/>
        <w:sz w:val="20"/>
      </w:rPr>
      <w:fldChar w:fldCharType="begin"/>
    </w:r>
    <w:r w:rsidRPr="009557AB">
      <w:rPr>
        <w:rFonts w:asciiTheme="minorHAnsi" w:hAnsiTheme="minorHAnsi" w:cstheme="minorHAnsi"/>
        <w:sz w:val="20"/>
      </w:rPr>
      <w:instrText xml:space="preserve"> NUMPAGES </w:instrText>
    </w:r>
    <w:r w:rsidRPr="009557AB">
      <w:rPr>
        <w:rFonts w:asciiTheme="minorHAnsi" w:hAnsiTheme="minorHAnsi" w:cstheme="minorHAnsi"/>
        <w:sz w:val="20"/>
      </w:rPr>
      <w:fldChar w:fldCharType="separate"/>
    </w:r>
    <w:r w:rsidR="004413DC">
      <w:rPr>
        <w:rFonts w:asciiTheme="minorHAnsi" w:hAnsiTheme="minorHAnsi" w:cstheme="minorHAnsi"/>
        <w:noProof/>
        <w:sz w:val="20"/>
      </w:rPr>
      <w:t>6</w:t>
    </w:r>
    <w:r w:rsidRPr="009557AB">
      <w:rPr>
        <w:rFonts w:asciiTheme="minorHAnsi" w:hAnsiTheme="minorHAnsi" w:cstheme="minorHAnsi"/>
        <w:sz w:val="20"/>
      </w:rPr>
      <w:fldChar w:fldCharType="end"/>
    </w:r>
  </w:p>
  <w:p w:rsidR="0096618F" w:rsidRPr="009557AB" w:rsidRDefault="0096618F">
    <w:pPr>
      <w:pStyle w:val="Header"/>
      <w:pBdr>
        <w:bottom w:val="single" w:sz="4" w:space="1" w:color="auto"/>
      </w:pBdr>
      <w:tabs>
        <w:tab w:val="right" w:pos="9063"/>
      </w:tabs>
      <w:rPr>
        <w:rFonts w:asciiTheme="minorHAnsi" w:hAnsiTheme="minorHAnsi" w:cstheme="minorHAnsi"/>
        <w:sz w:val="20"/>
      </w:rPr>
    </w:pPr>
  </w:p>
  <w:p w:rsidR="0096618F" w:rsidRPr="009557AB" w:rsidRDefault="0096618F">
    <w:pPr>
      <w:pStyle w:val="Header"/>
      <w:tabs>
        <w:tab w:val="right" w:pos="9063"/>
      </w:tabs>
      <w:rPr>
        <w:rFonts w:asciiTheme="minorHAnsi" w:hAnsiTheme="minorHAnsi" w:cstheme="minorHAnsi"/>
        <w:sz w:val="20"/>
      </w:rPr>
    </w:pPr>
  </w:p>
  <w:p w:rsidR="0096618F" w:rsidRPr="009557AB" w:rsidRDefault="0096618F">
    <w:pPr>
      <w:pStyle w:val="Header"/>
      <w:tabs>
        <w:tab w:val="right" w:pos="9063"/>
      </w:tabs>
      <w:rPr>
        <w:rFonts w:asciiTheme="minorHAnsi" w:hAnsiTheme="minorHAnsi" w:cstheme="minorHAnsi"/>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18F" w:rsidRDefault="0096618F" w:rsidP="0096618F">
    <w:pPr>
      <w:pStyle w:val="Header"/>
      <w:jc w:val="center"/>
      <w:rPr>
        <w:rFonts w:eastAsia="Arial"/>
        <w:b/>
        <w:bCs/>
        <w:color w:val="EF493F"/>
        <w:sz w:val="21"/>
        <w:szCs w:val="21"/>
      </w:rPr>
    </w:pPr>
    <w:r>
      <w:rPr>
        <w:noProof/>
        <w:lang w:eastAsia="en-AU"/>
      </w:rPr>
      <w:drawing>
        <wp:inline distT="0" distB="0" distL="0" distR="0" wp14:anchorId="0CEA4A38" wp14:editId="132DF540">
          <wp:extent cx="1113155" cy="977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155" cy="977900"/>
                  </a:xfrm>
                  <a:prstGeom prst="rect">
                    <a:avLst/>
                  </a:prstGeom>
                  <a:noFill/>
                  <a:ln>
                    <a:noFill/>
                  </a:ln>
                </pic:spPr>
              </pic:pic>
            </a:graphicData>
          </a:graphic>
        </wp:inline>
      </w:drawing>
    </w:r>
  </w:p>
  <w:p w:rsidR="0096618F" w:rsidRDefault="0096618F" w:rsidP="0096618F">
    <w:pPr>
      <w:pStyle w:val="Header"/>
      <w:jc w:val="center"/>
      <w:rPr>
        <w:rFonts w:eastAsia="Arial"/>
        <w:sz w:val="21"/>
        <w:szCs w:val="21"/>
      </w:rPr>
    </w:pPr>
    <w:r>
      <w:rPr>
        <w:rFonts w:eastAsia="Arial"/>
        <w:b/>
        <w:bCs/>
        <w:color w:val="EF493F"/>
        <w:sz w:val="21"/>
        <w:szCs w:val="21"/>
      </w:rPr>
      <w:t>New</w:t>
    </w:r>
    <w:r>
      <w:rPr>
        <w:rFonts w:eastAsia="Arial"/>
        <w:b/>
        <w:bCs/>
        <w:color w:val="EF493F"/>
        <w:spacing w:val="19"/>
        <w:sz w:val="21"/>
        <w:szCs w:val="21"/>
      </w:rPr>
      <w:t xml:space="preserve"> </w:t>
    </w:r>
    <w:r>
      <w:rPr>
        <w:rFonts w:eastAsia="Arial"/>
        <w:b/>
        <w:bCs/>
        <w:color w:val="EF493F"/>
        <w:sz w:val="21"/>
        <w:szCs w:val="21"/>
      </w:rPr>
      <w:t>South</w:t>
    </w:r>
    <w:r>
      <w:rPr>
        <w:rFonts w:eastAsia="Arial"/>
        <w:b/>
        <w:bCs/>
        <w:color w:val="EF493F"/>
        <w:spacing w:val="24"/>
        <w:sz w:val="21"/>
        <w:szCs w:val="21"/>
      </w:rPr>
      <w:t xml:space="preserve"> </w:t>
    </w:r>
    <w:r>
      <w:rPr>
        <w:rFonts w:eastAsia="Arial"/>
        <w:b/>
        <w:bCs/>
        <w:color w:val="EF493F"/>
        <w:w w:val="102"/>
        <w:sz w:val="21"/>
        <w:szCs w:val="21"/>
      </w:rPr>
      <w:t>Wales</w:t>
    </w:r>
  </w:p>
  <w:p w:rsidR="0096618F" w:rsidRDefault="0096618F" w:rsidP="0096618F">
    <w:pPr>
      <w:pStyle w:val="Header"/>
      <w:tabs>
        <w:tab w:val="clear" w:pos="4513"/>
      </w:tabs>
      <w:jc w:val="center"/>
    </w:pPr>
  </w:p>
  <w:p w:rsidR="0096618F" w:rsidRDefault="0096618F" w:rsidP="0096618F">
    <w:pPr>
      <w:pStyle w:val="Header"/>
      <w:tabs>
        <w:tab w:val="clear" w:pos="4513"/>
      </w:tabs>
      <w:jc w:val="center"/>
    </w:pPr>
  </w:p>
  <w:p w:rsidR="0096618F" w:rsidRDefault="009661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97BB9"/>
    <w:multiLevelType w:val="hybridMultilevel"/>
    <w:tmpl w:val="9C3E64F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D9E1DB0"/>
    <w:multiLevelType w:val="hybridMultilevel"/>
    <w:tmpl w:val="1D767A3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15B3310E"/>
    <w:multiLevelType w:val="hybridMultilevel"/>
    <w:tmpl w:val="59824EA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1D503544"/>
    <w:multiLevelType w:val="hybridMultilevel"/>
    <w:tmpl w:val="701A356A"/>
    <w:lvl w:ilvl="0" w:tplc="0409000F">
      <w:start w:val="1"/>
      <w:numFmt w:val="decimal"/>
      <w:lvlText w:val="%1."/>
      <w:lvlJc w:val="left"/>
      <w:pPr>
        <w:tabs>
          <w:tab w:val="num" w:pos="780"/>
        </w:tabs>
        <w:ind w:left="780" w:hanging="360"/>
      </w:pPr>
    </w:lvl>
    <w:lvl w:ilvl="1" w:tplc="04090019">
      <w:start w:val="1"/>
      <w:numFmt w:val="lowerLetter"/>
      <w:lvlText w:val="%2."/>
      <w:lvlJc w:val="left"/>
      <w:pPr>
        <w:tabs>
          <w:tab w:val="num" w:pos="1500"/>
        </w:tabs>
        <w:ind w:left="1500" w:hanging="360"/>
      </w:pPr>
    </w:lvl>
    <w:lvl w:ilvl="2" w:tplc="0409001B">
      <w:start w:val="1"/>
      <w:numFmt w:val="lowerRoman"/>
      <w:lvlText w:val="%3."/>
      <w:lvlJc w:val="right"/>
      <w:pPr>
        <w:tabs>
          <w:tab w:val="num" w:pos="2220"/>
        </w:tabs>
        <w:ind w:left="2220" w:hanging="180"/>
      </w:pPr>
    </w:lvl>
    <w:lvl w:ilvl="3" w:tplc="0409000F">
      <w:start w:val="1"/>
      <w:numFmt w:val="decimal"/>
      <w:lvlText w:val="%4."/>
      <w:lvlJc w:val="left"/>
      <w:pPr>
        <w:tabs>
          <w:tab w:val="num" w:pos="2940"/>
        </w:tabs>
        <w:ind w:left="2940" w:hanging="360"/>
      </w:pPr>
    </w:lvl>
    <w:lvl w:ilvl="4" w:tplc="04090019">
      <w:start w:val="1"/>
      <w:numFmt w:val="lowerLetter"/>
      <w:lvlText w:val="%5."/>
      <w:lvlJc w:val="left"/>
      <w:pPr>
        <w:tabs>
          <w:tab w:val="num" w:pos="3660"/>
        </w:tabs>
        <w:ind w:left="3660" w:hanging="360"/>
      </w:pPr>
    </w:lvl>
    <w:lvl w:ilvl="5" w:tplc="0409001B">
      <w:start w:val="1"/>
      <w:numFmt w:val="lowerRoman"/>
      <w:lvlText w:val="%6."/>
      <w:lvlJc w:val="right"/>
      <w:pPr>
        <w:tabs>
          <w:tab w:val="num" w:pos="4380"/>
        </w:tabs>
        <w:ind w:left="4380" w:hanging="180"/>
      </w:pPr>
    </w:lvl>
    <w:lvl w:ilvl="6" w:tplc="0409000F">
      <w:start w:val="1"/>
      <w:numFmt w:val="decimal"/>
      <w:lvlText w:val="%7."/>
      <w:lvlJc w:val="left"/>
      <w:pPr>
        <w:tabs>
          <w:tab w:val="num" w:pos="5100"/>
        </w:tabs>
        <w:ind w:left="5100" w:hanging="360"/>
      </w:pPr>
    </w:lvl>
    <w:lvl w:ilvl="7" w:tplc="04090019">
      <w:start w:val="1"/>
      <w:numFmt w:val="lowerLetter"/>
      <w:lvlText w:val="%8."/>
      <w:lvlJc w:val="left"/>
      <w:pPr>
        <w:tabs>
          <w:tab w:val="num" w:pos="5820"/>
        </w:tabs>
        <w:ind w:left="5820" w:hanging="360"/>
      </w:pPr>
    </w:lvl>
    <w:lvl w:ilvl="8" w:tplc="0409001B">
      <w:start w:val="1"/>
      <w:numFmt w:val="lowerRoman"/>
      <w:lvlText w:val="%9."/>
      <w:lvlJc w:val="right"/>
      <w:pPr>
        <w:tabs>
          <w:tab w:val="num" w:pos="6540"/>
        </w:tabs>
        <w:ind w:left="6540" w:hanging="180"/>
      </w:pPr>
    </w:lvl>
  </w:abstractNum>
  <w:abstractNum w:abstractNumId="4">
    <w:nsid w:val="1EF731F7"/>
    <w:multiLevelType w:val="hybridMultilevel"/>
    <w:tmpl w:val="FD044CC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29F02807"/>
    <w:multiLevelType w:val="hybridMultilevel"/>
    <w:tmpl w:val="A894A7BA"/>
    <w:lvl w:ilvl="0" w:tplc="77160C7C">
      <w:start w:val="1"/>
      <w:numFmt w:val="bullet"/>
      <w:lvlText w:val=""/>
      <w:lvlJc w:val="left"/>
      <w:pPr>
        <w:tabs>
          <w:tab w:val="num" w:pos="1080"/>
        </w:tabs>
        <w:ind w:left="1080" w:hanging="360"/>
      </w:pPr>
      <w:rPr>
        <w:rFonts w:ascii="Symbol" w:hAnsi="Symbol" w:cs="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6">
    <w:nsid w:val="2A6805A0"/>
    <w:multiLevelType w:val="hybridMultilevel"/>
    <w:tmpl w:val="D384F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2ED15464"/>
    <w:multiLevelType w:val="hybridMultilevel"/>
    <w:tmpl w:val="054C812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30461FC8"/>
    <w:multiLevelType w:val="hybridMultilevel"/>
    <w:tmpl w:val="E7787C3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306F57E1"/>
    <w:multiLevelType w:val="hybridMultilevel"/>
    <w:tmpl w:val="4F8C1996"/>
    <w:lvl w:ilvl="0" w:tplc="77160C7C">
      <w:start w:val="1"/>
      <w:numFmt w:val="bullet"/>
      <w:lvlText w:val=""/>
      <w:lvlJc w:val="left"/>
      <w:pPr>
        <w:tabs>
          <w:tab w:val="num" w:pos="1080"/>
        </w:tabs>
        <w:ind w:left="1080" w:hanging="360"/>
      </w:pPr>
      <w:rPr>
        <w:rFonts w:ascii="Symbol" w:hAnsi="Symbol" w:cs="Symbol" w:hint="default"/>
        <w:color w:val="auto"/>
      </w:rPr>
    </w:lvl>
    <w:lvl w:ilvl="1" w:tplc="0409000F">
      <w:start w:val="1"/>
      <w:numFmt w:val="decimal"/>
      <w:lvlText w:val="%2."/>
      <w:lvlJc w:val="left"/>
      <w:pPr>
        <w:tabs>
          <w:tab w:val="num" w:pos="1800"/>
        </w:tabs>
        <w:ind w:left="1800" w:hanging="360"/>
      </w:p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0">
    <w:nsid w:val="322332A2"/>
    <w:multiLevelType w:val="hybridMultilevel"/>
    <w:tmpl w:val="6FCC7C6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35793442"/>
    <w:multiLevelType w:val="hybridMultilevel"/>
    <w:tmpl w:val="1416119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35832289"/>
    <w:multiLevelType w:val="hybridMultilevel"/>
    <w:tmpl w:val="473C22B0"/>
    <w:lvl w:ilvl="0" w:tplc="77160C7C">
      <w:start w:val="1"/>
      <w:numFmt w:val="bullet"/>
      <w:lvlText w:val=""/>
      <w:lvlJc w:val="left"/>
      <w:pPr>
        <w:tabs>
          <w:tab w:val="num" w:pos="780"/>
        </w:tabs>
        <w:ind w:left="780" w:hanging="360"/>
      </w:pPr>
      <w:rPr>
        <w:rFonts w:ascii="Symbol" w:hAnsi="Symbol" w:cs="Symbol" w:hint="default"/>
        <w:color w:val="auto"/>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13">
    <w:nsid w:val="3F8170AC"/>
    <w:multiLevelType w:val="hybridMultilevel"/>
    <w:tmpl w:val="6A58482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41DF3936"/>
    <w:multiLevelType w:val="hybridMultilevel"/>
    <w:tmpl w:val="34E0D67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42C70B32"/>
    <w:multiLevelType w:val="hybridMultilevel"/>
    <w:tmpl w:val="6BF2BFB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437941BA"/>
    <w:multiLevelType w:val="hybridMultilevel"/>
    <w:tmpl w:val="8B667080"/>
    <w:lvl w:ilvl="0" w:tplc="77160C7C">
      <w:start w:val="1"/>
      <w:numFmt w:val="bullet"/>
      <w:lvlText w:val=""/>
      <w:lvlJc w:val="left"/>
      <w:pPr>
        <w:tabs>
          <w:tab w:val="num" w:pos="1080"/>
        </w:tabs>
        <w:ind w:left="1080" w:hanging="360"/>
      </w:pPr>
      <w:rPr>
        <w:rFonts w:ascii="Symbol" w:hAnsi="Symbol" w:cs="Symbol" w:hint="default"/>
        <w:color w:val="auto"/>
      </w:rPr>
    </w:lvl>
    <w:lvl w:ilvl="1" w:tplc="0409000F">
      <w:start w:val="1"/>
      <w:numFmt w:val="decimal"/>
      <w:lvlText w:val="%2."/>
      <w:lvlJc w:val="left"/>
      <w:pPr>
        <w:tabs>
          <w:tab w:val="num" w:pos="1800"/>
        </w:tabs>
        <w:ind w:left="1800" w:hanging="360"/>
      </w:p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7">
    <w:nsid w:val="55543094"/>
    <w:multiLevelType w:val="hybridMultilevel"/>
    <w:tmpl w:val="29609516"/>
    <w:lvl w:ilvl="0" w:tplc="2AB820C2">
      <w:start w:val="1"/>
      <w:numFmt w:val="decimal"/>
      <w:lvlText w:val="%1."/>
      <w:lvlJc w:val="left"/>
      <w:pPr>
        <w:tabs>
          <w:tab w:val="num" w:pos="567"/>
        </w:tabs>
        <w:ind w:left="567" w:hanging="567"/>
      </w:pPr>
      <w:rPr>
        <w:rFonts w:hint="default"/>
      </w:rPr>
    </w:lvl>
    <w:lvl w:ilvl="1" w:tplc="77160C7C">
      <w:start w:val="1"/>
      <w:numFmt w:val="bullet"/>
      <w:lvlText w:val=""/>
      <w:lvlJc w:val="left"/>
      <w:pPr>
        <w:tabs>
          <w:tab w:val="num" w:pos="1080"/>
        </w:tabs>
        <w:ind w:left="1080" w:hanging="360"/>
      </w:pPr>
      <w:rPr>
        <w:rFonts w:ascii="Symbol" w:hAnsi="Symbol" w:cs="Symbol" w:hint="default"/>
        <w:color w:val="auto"/>
      </w:rPr>
    </w:lvl>
    <w:lvl w:ilvl="2" w:tplc="77160C7C">
      <w:start w:val="1"/>
      <w:numFmt w:val="bullet"/>
      <w:lvlText w:val=""/>
      <w:lvlJc w:val="left"/>
      <w:pPr>
        <w:tabs>
          <w:tab w:val="num" w:pos="1980"/>
        </w:tabs>
        <w:ind w:left="1980" w:hanging="360"/>
      </w:pPr>
      <w:rPr>
        <w:rFonts w:ascii="Symbol" w:hAnsi="Symbol" w:cs="Symbol" w:hint="default"/>
        <w:color w:val="auto"/>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8">
    <w:nsid w:val="615710B7"/>
    <w:multiLevelType w:val="hybridMultilevel"/>
    <w:tmpl w:val="E960CCB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6F736BEC"/>
    <w:multiLevelType w:val="hybridMultilevel"/>
    <w:tmpl w:val="37A6519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70DC662B"/>
    <w:multiLevelType w:val="hybridMultilevel"/>
    <w:tmpl w:val="A1F2700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77984E9C"/>
    <w:multiLevelType w:val="hybridMultilevel"/>
    <w:tmpl w:val="D6C4AC6E"/>
    <w:lvl w:ilvl="0" w:tplc="77160C7C">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nsid w:val="7A141F77"/>
    <w:multiLevelType w:val="hybridMultilevel"/>
    <w:tmpl w:val="B39E5982"/>
    <w:lvl w:ilvl="0" w:tplc="77160C7C">
      <w:start w:val="1"/>
      <w:numFmt w:val="bullet"/>
      <w:lvlText w:val=""/>
      <w:lvlJc w:val="left"/>
      <w:pPr>
        <w:tabs>
          <w:tab w:val="num" w:pos="1080"/>
        </w:tabs>
        <w:ind w:left="1080" w:hanging="360"/>
      </w:pPr>
      <w:rPr>
        <w:rFonts w:ascii="Symbol" w:hAnsi="Symbol" w:cs="Symbol" w:hint="default"/>
        <w:color w:val="auto"/>
      </w:rPr>
    </w:lvl>
    <w:lvl w:ilvl="1" w:tplc="0409000F">
      <w:start w:val="1"/>
      <w:numFmt w:val="decimal"/>
      <w:lvlText w:val="%2."/>
      <w:lvlJc w:val="left"/>
      <w:pPr>
        <w:tabs>
          <w:tab w:val="num" w:pos="1800"/>
        </w:tabs>
        <w:ind w:left="1800" w:hanging="360"/>
      </w:p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3">
    <w:nsid w:val="7BA13505"/>
    <w:multiLevelType w:val="hybridMultilevel"/>
    <w:tmpl w:val="8CB43D48"/>
    <w:lvl w:ilvl="0" w:tplc="77160C7C">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7"/>
  </w:num>
  <w:num w:numId="2">
    <w:abstractNumId w:val="19"/>
  </w:num>
  <w:num w:numId="3">
    <w:abstractNumId w:val="0"/>
  </w:num>
  <w:num w:numId="4">
    <w:abstractNumId w:val="8"/>
  </w:num>
  <w:num w:numId="5">
    <w:abstractNumId w:val="17"/>
  </w:num>
  <w:num w:numId="6">
    <w:abstractNumId w:val="1"/>
  </w:num>
  <w:num w:numId="7">
    <w:abstractNumId w:val="4"/>
  </w:num>
  <w:num w:numId="8">
    <w:abstractNumId w:val="18"/>
  </w:num>
  <w:num w:numId="9">
    <w:abstractNumId w:val="10"/>
  </w:num>
  <w:num w:numId="10">
    <w:abstractNumId w:val="20"/>
  </w:num>
  <w:num w:numId="11">
    <w:abstractNumId w:val="13"/>
  </w:num>
  <w:num w:numId="12">
    <w:abstractNumId w:val="15"/>
  </w:num>
  <w:num w:numId="13">
    <w:abstractNumId w:val="21"/>
  </w:num>
  <w:num w:numId="14">
    <w:abstractNumId w:val="12"/>
  </w:num>
  <w:num w:numId="15">
    <w:abstractNumId w:val="3"/>
  </w:num>
  <w:num w:numId="16">
    <w:abstractNumId w:val="14"/>
  </w:num>
  <w:num w:numId="17">
    <w:abstractNumId w:val="16"/>
  </w:num>
  <w:num w:numId="18">
    <w:abstractNumId w:val="5"/>
  </w:num>
  <w:num w:numId="19">
    <w:abstractNumId w:val="2"/>
  </w:num>
  <w:num w:numId="20">
    <w:abstractNumId w:val="23"/>
  </w:num>
  <w:num w:numId="21">
    <w:abstractNumId w:val="6"/>
  </w:num>
  <w:num w:numId="22">
    <w:abstractNumId w:val="11"/>
  </w:num>
  <w:num w:numId="23">
    <w:abstractNumId w:val="9"/>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embedSystemFonts/>
  <w:proofState w:spelling="clean" w:grammar="clean"/>
  <w:defaultTabStop w:val="720"/>
  <w:doNotHyphenateCaps/>
  <w:drawingGridHorizontalSpacing w:val="57"/>
  <w:displayVerticalDrawingGridEvery w:val="2"/>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2A2"/>
    <w:rsid w:val="000952A2"/>
    <w:rsid w:val="004413DC"/>
    <w:rsid w:val="009557AB"/>
    <w:rsid w:val="0096618F"/>
    <w:rsid w:val="00973A47"/>
    <w:rsid w:val="00B05403"/>
    <w:rsid w:val="00DE1F6A"/>
    <w:rsid w:val="00E56C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Body Text Inden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4"/>
      <w:szCs w:val="24"/>
      <w:lang w:eastAsia="en-US"/>
    </w:rPr>
  </w:style>
  <w:style w:type="paragraph" w:styleId="Heading1">
    <w:name w:val="heading 1"/>
    <w:basedOn w:val="Normal"/>
    <w:next w:val="Normal"/>
    <w:link w:val="Heading1Char"/>
    <w:uiPriority w:val="99"/>
    <w:qFormat/>
    <w:rsid w:val="00973A47"/>
    <w:pPr>
      <w:keepNext/>
      <w:spacing w:after="120"/>
      <w:outlineLvl w:val="0"/>
    </w:pPr>
    <w:rPr>
      <w:rFonts w:asciiTheme="minorHAnsi" w:hAnsiTheme="minorHAnsi"/>
      <w:b/>
      <w:bCs/>
      <w:color w:val="000000" w:themeColor="text1"/>
      <w:szCs w:val="20"/>
    </w:rPr>
  </w:style>
  <w:style w:type="paragraph" w:styleId="Heading2">
    <w:name w:val="heading 2"/>
    <w:basedOn w:val="Normal"/>
    <w:next w:val="Normal"/>
    <w:link w:val="Heading2Char"/>
    <w:uiPriority w:val="99"/>
    <w:qFormat/>
    <w:pPr>
      <w:keepNext/>
      <w:outlineLvl w:val="1"/>
    </w:pPr>
    <w:rPr>
      <w:b/>
      <w:bCs/>
    </w:rPr>
  </w:style>
  <w:style w:type="paragraph" w:styleId="Heading3">
    <w:name w:val="heading 3"/>
    <w:basedOn w:val="Normal"/>
    <w:next w:val="Normal"/>
    <w:link w:val="Heading3Char"/>
    <w:uiPriority w:val="99"/>
    <w:qFormat/>
    <w:pPr>
      <w:keepNext/>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73A47"/>
    <w:rPr>
      <w:rFonts w:cs="Arial"/>
      <w:b/>
      <w:bCs/>
      <w:color w:val="000000" w:themeColor="text1"/>
      <w:sz w:val="24"/>
      <w:szCs w:val="20"/>
      <w:lang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paragraph" w:styleId="Title">
    <w:name w:val="Title"/>
    <w:basedOn w:val="Normal"/>
    <w:link w:val="TitleChar"/>
    <w:uiPriority w:val="99"/>
    <w:qFormat/>
    <w:pPr>
      <w:ind w:left="720"/>
      <w:jc w:val="center"/>
    </w:pPr>
    <w:rPr>
      <w:b/>
      <w:bCs/>
      <w:sz w:val="20"/>
      <w:szCs w:val="20"/>
      <w:u w:val="single"/>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eastAsia="en-US"/>
    </w:rPr>
  </w:style>
  <w:style w:type="paragraph" w:styleId="BodyText">
    <w:name w:val="Body Text"/>
    <w:basedOn w:val="Normal"/>
    <w:link w:val="BodyTextChar"/>
    <w:uiPriority w:val="99"/>
    <w:pPr>
      <w:jc w:val="center"/>
    </w:pPr>
    <w:rPr>
      <w:b/>
      <w:bCs/>
      <w:sz w:val="20"/>
      <w:szCs w:val="20"/>
    </w:rPr>
  </w:style>
  <w:style w:type="character" w:customStyle="1" w:styleId="BodyTextChar">
    <w:name w:val="Body Text Char"/>
    <w:basedOn w:val="DefaultParagraphFont"/>
    <w:link w:val="BodyText"/>
    <w:uiPriority w:val="99"/>
    <w:semiHidden/>
    <w:rPr>
      <w:rFonts w:ascii="Arial" w:hAnsi="Arial" w:cs="Arial"/>
      <w:sz w:val="24"/>
      <w:szCs w:val="24"/>
      <w:lang w:eastAsia="en-US"/>
    </w:rPr>
  </w:style>
  <w:style w:type="paragraph" w:styleId="BodyText2">
    <w:name w:val="Body Text 2"/>
    <w:basedOn w:val="Normal"/>
    <w:link w:val="BodyText2Char"/>
    <w:uiPriority w:val="99"/>
    <w:pPr>
      <w:ind w:left="720"/>
    </w:pPr>
    <w:rPr>
      <w:sz w:val="20"/>
      <w:szCs w:val="20"/>
    </w:rPr>
  </w:style>
  <w:style w:type="character" w:customStyle="1" w:styleId="BodyText2Char">
    <w:name w:val="Body Text 2 Char"/>
    <w:basedOn w:val="DefaultParagraphFont"/>
    <w:link w:val="BodyText2"/>
    <w:uiPriority w:val="99"/>
    <w:semiHidden/>
    <w:rPr>
      <w:rFonts w:ascii="Arial" w:hAnsi="Arial" w:cs="Arial"/>
      <w:sz w:val="24"/>
      <w:szCs w:val="24"/>
      <w:lang w:eastAsia="en-US"/>
    </w:rPr>
  </w:style>
  <w:style w:type="paragraph" w:styleId="BodyText3">
    <w:name w:val="Body Text 3"/>
    <w:basedOn w:val="Normal"/>
    <w:link w:val="BodyText3Char"/>
    <w:uiPriority w:val="99"/>
    <w:rPr>
      <w:sz w:val="20"/>
      <w:szCs w:val="20"/>
    </w:rPr>
  </w:style>
  <w:style w:type="character" w:customStyle="1" w:styleId="BodyText3Char">
    <w:name w:val="Body Text 3 Char"/>
    <w:basedOn w:val="DefaultParagraphFont"/>
    <w:link w:val="BodyText3"/>
    <w:uiPriority w:val="99"/>
    <w:semiHidden/>
    <w:rPr>
      <w:rFonts w:ascii="Arial" w:hAnsi="Arial" w:cs="Arial"/>
      <w:sz w:val="16"/>
      <w:szCs w:val="16"/>
      <w:lang w:eastAsia="en-US"/>
    </w:rPr>
  </w:style>
  <w:style w:type="paragraph" w:styleId="BodyTextIndent2">
    <w:name w:val="Body Text Indent 2"/>
    <w:basedOn w:val="Normal"/>
    <w:link w:val="BodyTextIndent2Char"/>
    <w:uiPriority w:val="99"/>
    <w:pPr>
      <w:ind w:left="360"/>
    </w:pPr>
    <w:rPr>
      <w:sz w:val="20"/>
      <w:szCs w:val="20"/>
    </w:rPr>
  </w:style>
  <w:style w:type="character" w:customStyle="1" w:styleId="BodyTextIndent2Char">
    <w:name w:val="Body Text Indent 2 Char"/>
    <w:basedOn w:val="DefaultParagraphFont"/>
    <w:link w:val="BodyTextIndent2"/>
    <w:uiPriority w:val="99"/>
    <w:semiHidden/>
    <w:rPr>
      <w:rFonts w:ascii="Arial" w:hAnsi="Arial" w:cs="Arial"/>
      <w:sz w:val="24"/>
      <w:szCs w:val="24"/>
      <w:lang w:eastAsia="en-US"/>
    </w:rPr>
  </w:style>
  <w:style w:type="paragraph" w:styleId="Header">
    <w:name w:val="header"/>
    <w:basedOn w:val="Normal"/>
    <w:link w:val="HeaderChar"/>
    <w:unhideWhenUsed/>
    <w:rsid w:val="00973A47"/>
    <w:pPr>
      <w:tabs>
        <w:tab w:val="center" w:pos="4513"/>
        <w:tab w:val="right" w:pos="9026"/>
      </w:tabs>
    </w:pPr>
  </w:style>
  <w:style w:type="character" w:customStyle="1" w:styleId="HeaderChar">
    <w:name w:val="Header Char"/>
    <w:basedOn w:val="DefaultParagraphFont"/>
    <w:link w:val="Header"/>
    <w:rsid w:val="00973A47"/>
    <w:rPr>
      <w:rFonts w:ascii="Arial" w:hAnsi="Arial" w:cs="Arial"/>
      <w:sz w:val="24"/>
      <w:szCs w:val="24"/>
      <w:lang w:eastAsia="en-US"/>
    </w:rPr>
  </w:style>
  <w:style w:type="paragraph" w:styleId="Footer">
    <w:name w:val="footer"/>
    <w:basedOn w:val="Normal"/>
    <w:link w:val="FooterChar"/>
    <w:uiPriority w:val="99"/>
    <w:unhideWhenUsed/>
    <w:rsid w:val="00973A47"/>
    <w:pPr>
      <w:tabs>
        <w:tab w:val="center" w:pos="4513"/>
        <w:tab w:val="right" w:pos="9026"/>
      </w:tabs>
    </w:pPr>
  </w:style>
  <w:style w:type="character" w:customStyle="1" w:styleId="FooterChar">
    <w:name w:val="Footer Char"/>
    <w:basedOn w:val="DefaultParagraphFont"/>
    <w:link w:val="Footer"/>
    <w:uiPriority w:val="99"/>
    <w:rsid w:val="00973A47"/>
    <w:rPr>
      <w:rFonts w:ascii="Arial" w:hAnsi="Arial" w:cs="Arial"/>
      <w:sz w:val="24"/>
      <w:szCs w:val="24"/>
      <w:lang w:eastAsia="en-US"/>
    </w:rPr>
  </w:style>
  <w:style w:type="paragraph" w:styleId="BalloonText">
    <w:name w:val="Balloon Text"/>
    <w:basedOn w:val="Normal"/>
    <w:link w:val="BalloonTextChar"/>
    <w:uiPriority w:val="99"/>
    <w:semiHidden/>
    <w:unhideWhenUsed/>
    <w:rsid w:val="00973A47"/>
    <w:rPr>
      <w:rFonts w:ascii="Tahoma" w:hAnsi="Tahoma" w:cs="Tahoma"/>
      <w:sz w:val="16"/>
      <w:szCs w:val="16"/>
    </w:rPr>
  </w:style>
  <w:style w:type="character" w:customStyle="1" w:styleId="BalloonTextChar">
    <w:name w:val="Balloon Text Char"/>
    <w:basedOn w:val="DefaultParagraphFont"/>
    <w:link w:val="BalloonText"/>
    <w:uiPriority w:val="99"/>
    <w:semiHidden/>
    <w:rsid w:val="00973A4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Body Text Inden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4"/>
      <w:szCs w:val="24"/>
      <w:lang w:eastAsia="en-US"/>
    </w:rPr>
  </w:style>
  <w:style w:type="paragraph" w:styleId="Heading1">
    <w:name w:val="heading 1"/>
    <w:basedOn w:val="Normal"/>
    <w:next w:val="Normal"/>
    <w:link w:val="Heading1Char"/>
    <w:uiPriority w:val="99"/>
    <w:qFormat/>
    <w:rsid w:val="00973A47"/>
    <w:pPr>
      <w:keepNext/>
      <w:spacing w:after="120"/>
      <w:outlineLvl w:val="0"/>
    </w:pPr>
    <w:rPr>
      <w:rFonts w:asciiTheme="minorHAnsi" w:hAnsiTheme="minorHAnsi"/>
      <w:b/>
      <w:bCs/>
      <w:color w:val="000000" w:themeColor="text1"/>
      <w:szCs w:val="20"/>
    </w:rPr>
  </w:style>
  <w:style w:type="paragraph" w:styleId="Heading2">
    <w:name w:val="heading 2"/>
    <w:basedOn w:val="Normal"/>
    <w:next w:val="Normal"/>
    <w:link w:val="Heading2Char"/>
    <w:uiPriority w:val="99"/>
    <w:qFormat/>
    <w:pPr>
      <w:keepNext/>
      <w:outlineLvl w:val="1"/>
    </w:pPr>
    <w:rPr>
      <w:b/>
      <w:bCs/>
    </w:rPr>
  </w:style>
  <w:style w:type="paragraph" w:styleId="Heading3">
    <w:name w:val="heading 3"/>
    <w:basedOn w:val="Normal"/>
    <w:next w:val="Normal"/>
    <w:link w:val="Heading3Char"/>
    <w:uiPriority w:val="99"/>
    <w:qFormat/>
    <w:pPr>
      <w:keepNext/>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73A47"/>
    <w:rPr>
      <w:rFonts w:cs="Arial"/>
      <w:b/>
      <w:bCs/>
      <w:color w:val="000000" w:themeColor="text1"/>
      <w:sz w:val="24"/>
      <w:szCs w:val="20"/>
      <w:lang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paragraph" w:styleId="Title">
    <w:name w:val="Title"/>
    <w:basedOn w:val="Normal"/>
    <w:link w:val="TitleChar"/>
    <w:uiPriority w:val="99"/>
    <w:qFormat/>
    <w:pPr>
      <w:ind w:left="720"/>
      <w:jc w:val="center"/>
    </w:pPr>
    <w:rPr>
      <w:b/>
      <w:bCs/>
      <w:sz w:val="20"/>
      <w:szCs w:val="20"/>
      <w:u w:val="single"/>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eastAsia="en-US"/>
    </w:rPr>
  </w:style>
  <w:style w:type="paragraph" w:styleId="BodyText">
    <w:name w:val="Body Text"/>
    <w:basedOn w:val="Normal"/>
    <w:link w:val="BodyTextChar"/>
    <w:uiPriority w:val="99"/>
    <w:pPr>
      <w:jc w:val="center"/>
    </w:pPr>
    <w:rPr>
      <w:b/>
      <w:bCs/>
      <w:sz w:val="20"/>
      <w:szCs w:val="20"/>
    </w:rPr>
  </w:style>
  <w:style w:type="character" w:customStyle="1" w:styleId="BodyTextChar">
    <w:name w:val="Body Text Char"/>
    <w:basedOn w:val="DefaultParagraphFont"/>
    <w:link w:val="BodyText"/>
    <w:uiPriority w:val="99"/>
    <w:semiHidden/>
    <w:rPr>
      <w:rFonts w:ascii="Arial" w:hAnsi="Arial" w:cs="Arial"/>
      <w:sz w:val="24"/>
      <w:szCs w:val="24"/>
      <w:lang w:eastAsia="en-US"/>
    </w:rPr>
  </w:style>
  <w:style w:type="paragraph" w:styleId="BodyText2">
    <w:name w:val="Body Text 2"/>
    <w:basedOn w:val="Normal"/>
    <w:link w:val="BodyText2Char"/>
    <w:uiPriority w:val="99"/>
    <w:pPr>
      <w:ind w:left="720"/>
    </w:pPr>
    <w:rPr>
      <w:sz w:val="20"/>
      <w:szCs w:val="20"/>
    </w:rPr>
  </w:style>
  <w:style w:type="character" w:customStyle="1" w:styleId="BodyText2Char">
    <w:name w:val="Body Text 2 Char"/>
    <w:basedOn w:val="DefaultParagraphFont"/>
    <w:link w:val="BodyText2"/>
    <w:uiPriority w:val="99"/>
    <w:semiHidden/>
    <w:rPr>
      <w:rFonts w:ascii="Arial" w:hAnsi="Arial" w:cs="Arial"/>
      <w:sz w:val="24"/>
      <w:szCs w:val="24"/>
      <w:lang w:eastAsia="en-US"/>
    </w:rPr>
  </w:style>
  <w:style w:type="paragraph" w:styleId="BodyText3">
    <w:name w:val="Body Text 3"/>
    <w:basedOn w:val="Normal"/>
    <w:link w:val="BodyText3Char"/>
    <w:uiPriority w:val="99"/>
    <w:rPr>
      <w:sz w:val="20"/>
      <w:szCs w:val="20"/>
    </w:rPr>
  </w:style>
  <w:style w:type="character" w:customStyle="1" w:styleId="BodyText3Char">
    <w:name w:val="Body Text 3 Char"/>
    <w:basedOn w:val="DefaultParagraphFont"/>
    <w:link w:val="BodyText3"/>
    <w:uiPriority w:val="99"/>
    <w:semiHidden/>
    <w:rPr>
      <w:rFonts w:ascii="Arial" w:hAnsi="Arial" w:cs="Arial"/>
      <w:sz w:val="16"/>
      <w:szCs w:val="16"/>
      <w:lang w:eastAsia="en-US"/>
    </w:rPr>
  </w:style>
  <w:style w:type="paragraph" w:styleId="BodyTextIndent2">
    <w:name w:val="Body Text Indent 2"/>
    <w:basedOn w:val="Normal"/>
    <w:link w:val="BodyTextIndent2Char"/>
    <w:uiPriority w:val="99"/>
    <w:pPr>
      <w:ind w:left="360"/>
    </w:pPr>
    <w:rPr>
      <w:sz w:val="20"/>
      <w:szCs w:val="20"/>
    </w:rPr>
  </w:style>
  <w:style w:type="character" w:customStyle="1" w:styleId="BodyTextIndent2Char">
    <w:name w:val="Body Text Indent 2 Char"/>
    <w:basedOn w:val="DefaultParagraphFont"/>
    <w:link w:val="BodyTextIndent2"/>
    <w:uiPriority w:val="99"/>
    <w:semiHidden/>
    <w:rPr>
      <w:rFonts w:ascii="Arial" w:hAnsi="Arial" w:cs="Arial"/>
      <w:sz w:val="24"/>
      <w:szCs w:val="24"/>
      <w:lang w:eastAsia="en-US"/>
    </w:rPr>
  </w:style>
  <w:style w:type="paragraph" w:styleId="Header">
    <w:name w:val="header"/>
    <w:basedOn w:val="Normal"/>
    <w:link w:val="HeaderChar"/>
    <w:unhideWhenUsed/>
    <w:rsid w:val="00973A47"/>
    <w:pPr>
      <w:tabs>
        <w:tab w:val="center" w:pos="4513"/>
        <w:tab w:val="right" w:pos="9026"/>
      </w:tabs>
    </w:pPr>
  </w:style>
  <w:style w:type="character" w:customStyle="1" w:styleId="HeaderChar">
    <w:name w:val="Header Char"/>
    <w:basedOn w:val="DefaultParagraphFont"/>
    <w:link w:val="Header"/>
    <w:rsid w:val="00973A47"/>
    <w:rPr>
      <w:rFonts w:ascii="Arial" w:hAnsi="Arial" w:cs="Arial"/>
      <w:sz w:val="24"/>
      <w:szCs w:val="24"/>
      <w:lang w:eastAsia="en-US"/>
    </w:rPr>
  </w:style>
  <w:style w:type="paragraph" w:styleId="Footer">
    <w:name w:val="footer"/>
    <w:basedOn w:val="Normal"/>
    <w:link w:val="FooterChar"/>
    <w:uiPriority w:val="99"/>
    <w:unhideWhenUsed/>
    <w:rsid w:val="00973A47"/>
    <w:pPr>
      <w:tabs>
        <w:tab w:val="center" w:pos="4513"/>
        <w:tab w:val="right" w:pos="9026"/>
      </w:tabs>
    </w:pPr>
  </w:style>
  <w:style w:type="character" w:customStyle="1" w:styleId="FooterChar">
    <w:name w:val="Footer Char"/>
    <w:basedOn w:val="DefaultParagraphFont"/>
    <w:link w:val="Footer"/>
    <w:uiPriority w:val="99"/>
    <w:rsid w:val="00973A47"/>
    <w:rPr>
      <w:rFonts w:ascii="Arial" w:hAnsi="Arial" w:cs="Arial"/>
      <w:sz w:val="24"/>
      <w:szCs w:val="24"/>
      <w:lang w:eastAsia="en-US"/>
    </w:rPr>
  </w:style>
  <w:style w:type="paragraph" w:styleId="BalloonText">
    <w:name w:val="Balloon Text"/>
    <w:basedOn w:val="Normal"/>
    <w:link w:val="BalloonTextChar"/>
    <w:uiPriority w:val="99"/>
    <w:semiHidden/>
    <w:unhideWhenUsed/>
    <w:rsid w:val="00973A47"/>
    <w:rPr>
      <w:rFonts w:ascii="Tahoma" w:hAnsi="Tahoma" w:cs="Tahoma"/>
      <w:sz w:val="16"/>
      <w:szCs w:val="16"/>
    </w:rPr>
  </w:style>
  <w:style w:type="character" w:customStyle="1" w:styleId="BalloonTextChar">
    <w:name w:val="Balloon Text Char"/>
    <w:basedOn w:val="DefaultParagraphFont"/>
    <w:link w:val="BalloonText"/>
    <w:uiPriority w:val="99"/>
    <w:semiHidden/>
    <w:rsid w:val="00973A4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48D7D-BE5F-4CBB-8881-FBECCFBA4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9CED5275.dotm</Template>
  <TotalTime>36</TotalTime>
  <Pages>6</Pages>
  <Words>1642</Words>
  <Characters>8448</Characters>
  <Application>Microsoft Office Word</Application>
  <DocSecurity>0</DocSecurity>
  <Lines>216</Lines>
  <Paragraphs>114</Paragraphs>
  <ScaleCrop>false</ScaleCrop>
  <HeadingPairs>
    <vt:vector size="2" baseType="variant">
      <vt:variant>
        <vt:lpstr>Title</vt:lpstr>
      </vt:variant>
      <vt:variant>
        <vt:i4>1</vt:i4>
      </vt:variant>
    </vt:vector>
  </HeadingPairs>
  <TitlesOfParts>
    <vt:vector size="1" baseType="lpstr">
      <vt:lpstr>DRAFT ONLY</vt:lpstr>
    </vt:vector>
  </TitlesOfParts>
  <Company>NSW Attorney General's Department</Company>
  <LinksUpToDate>false</LinksUpToDate>
  <CharactersWithSpaces>9976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ONLY</dc:title>
  <dc:creator>NSW Attorney General's Department</dc:creator>
  <cp:lastModifiedBy>Victoria Bradshaw</cp:lastModifiedBy>
  <cp:revision>6</cp:revision>
  <cp:lastPrinted>2018-03-08T05:35:00Z</cp:lastPrinted>
  <dcterms:created xsi:type="dcterms:W3CDTF">2018-03-08T04:40:00Z</dcterms:created>
  <dcterms:modified xsi:type="dcterms:W3CDTF">2018-03-08T05:35:00Z</dcterms:modified>
</cp:coreProperties>
</file>